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522" w:rsidRPr="00815522" w:rsidRDefault="00815522" w:rsidP="00815522">
      <w:pPr>
        <w:rPr>
          <w:rFonts w:eastAsia="Times New Roman"/>
          <w:sz w:val="22"/>
          <w:szCs w:val="22"/>
        </w:rPr>
      </w:pPr>
      <w:r w:rsidRPr="00815522">
        <w:rPr>
          <w:rFonts w:eastAsia="Times New Roman"/>
          <w:sz w:val="22"/>
          <w:szCs w:val="22"/>
        </w:rPr>
        <w:t>Bogotá D.C., 09 de enero de 2026</w:t>
      </w:r>
    </w:p>
    <w:p w:rsidR="00815522" w:rsidRPr="00815522" w:rsidRDefault="00815522" w:rsidP="00815522">
      <w:pPr>
        <w:rPr>
          <w:rFonts w:eastAsia="Times New Roman"/>
          <w:sz w:val="22"/>
          <w:szCs w:val="22"/>
        </w:rPr>
      </w:pPr>
    </w:p>
    <w:p w:rsidR="00815522" w:rsidRPr="00815522" w:rsidRDefault="00815522" w:rsidP="00815522">
      <w:pPr>
        <w:rPr>
          <w:rFonts w:eastAsia="Times New Roman"/>
          <w:sz w:val="22"/>
          <w:szCs w:val="22"/>
        </w:rPr>
      </w:pPr>
    </w:p>
    <w:p w:rsidR="00815522" w:rsidRPr="00815522" w:rsidRDefault="00815522" w:rsidP="00815522">
      <w:pPr>
        <w:rPr>
          <w:rFonts w:eastAsia="Times New Roman"/>
          <w:sz w:val="22"/>
          <w:szCs w:val="22"/>
        </w:rPr>
      </w:pPr>
    </w:p>
    <w:p w:rsidR="00815522" w:rsidRPr="00815522" w:rsidRDefault="00815522" w:rsidP="00815522">
      <w:pPr>
        <w:rPr>
          <w:rFonts w:eastAsia="Times New Roman"/>
          <w:b/>
          <w:sz w:val="22"/>
          <w:szCs w:val="22"/>
        </w:rPr>
      </w:pPr>
      <w:r w:rsidRPr="00815522">
        <w:rPr>
          <w:rFonts w:eastAsia="Times New Roman"/>
          <w:sz w:val="22"/>
          <w:szCs w:val="22"/>
        </w:rPr>
        <w:t>Doctora</w:t>
      </w:r>
    </w:p>
    <w:p w:rsidR="00815522" w:rsidRPr="00815522" w:rsidRDefault="00815522" w:rsidP="00815522">
      <w:pPr>
        <w:rPr>
          <w:rFonts w:eastAsia="Times New Roman"/>
          <w:b/>
          <w:sz w:val="22"/>
          <w:szCs w:val="22"/>
          <w:highlight w:val="white"/>
        </w:rPr>
      </w:pPr>
      <w:r w:rsidRPr="00815522">
        <w:rPr>
          <w:rFonts w:eastAsia="Times New Roman"/>
          <w:b/>
          <w:sz w:val="22"/>
          <w:szCs w:val="22"/>
        </w:rPr>
        <w:t>LUZ ANGÉLICA VIZCAÍNO</w:t>
      </w:r>
    </w:p>
    <w:p w:rsidR="00815522" w:rsidRPr="00815522" w:rsidRDefault="00815522" w:rsidP="00815522">
      <w:pPr>
        <w:rPr>
          <w:rFonts w:eastAsia="Times New Roman"/>
          <w:sz w:val="22"/>
          <w:szCs w:val="22"/>
          <w:highlight w:val="white"/>
        </w:rPr>
      </w:pPr>
      <w:r w:rsidRPr="00815522">
        <w:rPr>
          <w:rFonts w:eastAsia="Times New Roman"/>
          <w:sz w:val="22"/>
          <w:szCs w:val="22"/>
          <w:highlight w:val="white"/>
        </w:rPr>
        <w:t>Secretaria General</w:t>
      </w:r>
    </w:p>
    <w:p w:rsidR="00815522" w:rsidRPr="00815522" w:rsidRDefault="00815522" w:rsidP="00815522">
      <w:pPr>
        <w:rPr>
          <w:rFonts w:eastAsia="Times New Roman"/>
          <w:sz w:val="22"/>
          <w:szCs w:val="22"/>
          <w:highlight w:val="white"/>
        </w:rPr>
      </w:pPr>
      <w:r w:rsidRPr="00815522">
        <w:rPr>
          <w:rFonts w:eastAsia="Times New Roman"/>
          <w:sz w:val="22"/>
          <w:szCs w:val="22"/>
          <w:highlight w:val="white"/>
        </w:rPr>
        <w:t>Concejo de Bogotá D. C.</w:t>
      </w:r>
    </w:p>
    <w:p w:rsidR="00815522" w:rsidRPr="00815522" w:rsidRDefault="00815522" w:rsidP="00815522">
      <w:pPr>
        <w:rPr>
          <w:rFonts w:eastAsia="Times New Roman"/>
          <w:sz w:val="22"/>
          <w:szCs w:val="22"/>
        </w:rPr>
      </w:pPr>
      <w:r w:rsidRPr="00815522">
        <w:rPr>
          <w:rFonts w:eastAsia="Times New Roman"/>
          <w:sz w:val="22"/>
          <w:szCs w:val="22"/>
        </w:rPr>
        <w:t>Ciudad</w:t>
      </w:r>
    </w:p>
    <w:p w:rsidR="00815522" w:rsidRPr="00815522" w:rsidRDefault="00815522" w:rsidP="00815522">
      <w:pPr>
        <w:rPr>
          <w:rFonts w:eastAsia="Times New Roman"/>
          <w:sz w:val="22"/>
          <w:szCs w:val="22"/>
        </w:rPr>
      </w:pPr>
    </w:p>
    <w:p w:rsidR="00815522" w:rsidRPr="00815522" w:rsidRDefault="00815522" w:rsidP="00815522">
      <w:pPr>
        <w:jc w:val="right"/>
        <w:rPr>
          <w:rFonts w:eastAsia="Times New Roman"/>
          <w:sz w:val="22"/>
          <w:szCs w:val="22"/>
        </w:rPr>
      </w:pPr>
      <w:r w:rsidRPr="00815522">
        <w:rPr>
          <w:rFonts w:eastAsia="Times New Roman"/>
          <w:b/>
          <w:sz w:val="22"/>
          <w:szCs w:val="22"/>
        </w:rPr>
        <w:t xml:space="preserve">Asunto: </w:t>
      </w:r>
      <w:r w:rsidRPr="00815522">
        <w:rPr>
          <w:rFonts w:eastAsia="Times New Roman"/>
          <w:sz w:val="22"/>
          <w:szCs w:val="22"/>
        </w:rPr>
        <w:t>Radicación Proyecto de Acuerdo.</w:t>
      </w:r>
    </w:p>
    <w:p w:rsidR="00815522" w:rsidRPr="00815522" w:rsidRDefault="00815522" w:rsidP="00815522">
      <w:pPr>
        <w:rPr>
          <w:rFonts w:eastAsia="Times New Roman"/>
          <w:sz w:val="22"/>
          <w:szCs w:val="22"/>
        </w:rPr>
      </w:pPr>
    </w:p>
    <w:p w:rsidR="00815522" w:rsidRPr="00815522" w:rsidRDefault="00815522" w:rsidP="00815522">
      <w:pPr>
        <w:rPr>
          <w:rFonts w:eastAsia="Times New Roman"/>
          <w:sz w:val="22"/>
          <w:szCs w:val="22"/>
        </w:rPr>
      </w:pPr>
    </w:p>
    <w:p w:rsidR="00815522" w:rsidRPr="00815522" w:rsidRDefault="00815522" w:rsidP="00815522">
      <w:pPr>
        <w:rPr>
          <w:rFonts w:eastAsia="Times New Roman"/>
          <w:sz w:val="22"/>
          <w:szCs w:val="22"/>
        </w:rPr>
      </w:pPr>
      <w:r w:rsidRPr="00815522">
        <w:rPr>
          <w:rFonts w:eastAsia="Times New Roman"/>
          <w:sz w:val="22"/>
          <w:szCs w:val="22"/>
        </w:rPr>
        <w:t>Apreciada Doctora:</w:t>
      </w:r>
    </w:p>
    <w:p w:rsidR="00815522" w:rsidRPr="00815522" w:rsidRDefault="00815522" w:rsidP="00815522">
      <w:pPr>
        <w:rPr>
          <w:rFonts w:eastAsia="Times New Roman"/>
          <w:sz w:val="22"/>
          <w:szCs w:val="22"/>
        </w:rPr>
      </w:pPr>
    </w:p>
    <w:p w:rsidR="00815522" w:rsidRPr="00815522" w:rsidRDefault="00815522" w:rsidP="00815522">
      <w:pPr>
        <w:jc w:val="both"/>
        <w:rPr>
          <w:rFonts w:eastAsia="Times New Roman"/>
          <w:sz w:val="22"/>
          <w:szCs w:val="22"/>
        </w:rPr>
      </w:pPr>
    </w:p>
    <w:p w:rsidR="00815522" w:rsidRPr="00815522" w:rsidRDefault="00815522" w:rsidP="00815522">
      <w:pPr>
        <w:jc w:val="both"/>
        <w:rPr>
          <w:rFonts w:eastAsia="Times New Roman"/>
          <w:b/>
          <w:i/>
          <w:sz w:val="22"/>
          <w:szCs w:val="22"/>
        </w:rPr>
      </w:pPr>
      <w:r w:rsidRPr="00815522">
        <w:rPr>
          <w:rFonts w:eastAsia="Times New Roman"/>
          <w:sz w:val="22"/>
          <w:szCs w:val="22"/>
        </w:rPr>
        <w:t>Por medio de la presente y de conformidad con lo dispuesto en los artículos 65, 66 y 67 del Acuerdo 741 de 2019, modificado por el Acuerdo 837 de 2022, me permito radicar ante su despacho el Proyecto de Acuerdo</w:t>
      </w:r>
      <w:r w:rsidRPr="00815522">
        <w:rPr>
          <w:rFonts w:eastAsia="Times New Roman"/>
          <w:color w:val="FF0000"/>
          <w:sz w:val="22"/>
          <w:szCs w:val="22"/>
        </w:rPr>
        <w:t xml:space="preserve"> </w:t>
      </w:r>
      <w:r w:rsidRPr="00815522">
        <w:rPr>
          <w:rFonts w:eastAsia="Times New Roman"/>
          <w:b/>
          <w:i/>
          <w:sz w:val="22"/>
          <w:szCs w:val="22"/>
        </w:rPr>
        <w:t>“POR MEDIO DEL CUAL SE ESTABLECEN LINEAMIENTOS PARA PROMOVER LA DEBIDA CLASIFICACIÓN DE RESIDUOS SÓLIDOS DESDE LA FUENTE EN ESTABLECIMIENTOS COMERCIALES DE BOGOTÁ D.C., Y SE DICTAN OTRAS DISPOSICIONES”</w:t>
      </w:r>
      <w:r>
        <w:rPr>
          <w:rFonts w:eastAsia="Times New Roman"/>
          <w:b/>
          <w:i/>
          <w:sz w:val="22"/>
          <w:szCs w:val="22"/>
        </w:rPr>
        <w:t>.</w:t>
      </w:r>
      <w:r w:rsidRPr="00815522">
        <w:rPr>
          <w:rFonts w:eastAsia="Times New Roman"/>
          <w:b/>
          <w:i/>
          <w:sz w:val="22"/>
          <w:szCs w:val="22"/>
        </w:rPr>
        <w:t xml:space="preserve"> </w:t>
      </w:r>
    </w:p>
    <w:p w:rsidR="00815522" w:rsidRPr="00815522" w:rsidRDefault="00815522" w:rsidP="00815522">
      <w:pPr>
        <w:jc w:val="both"/>
        <w:rPr>
          <w:rFonts w:eastAsia="Times New Roman"/>
          <w:b/>
          <w:i/>
          <w:sz w:val="22"/>
          <w:szCs w:val="22"/>
        </w:rPr>
      </w:pPr>
    </w:p>
    <w:p w:rsidR="00815522" w:rsidRPr="00815522" w:rsidRDefault="00815522" w:rsidP="00815522">
      <w:pPr>
        <w:jc w:val="both"/>
        <w:rPr>
          <w:rFonts w:eastAsia="Times New Roman"/>
          <w:b/>
          <w:i/>
          <w:sz w:val="22"/>
          <w:szCs w:val="22"/>
        </w:rPr>
      </w:pPr>
    </w:p>
    <w:p w:rsidR="00815522" w:rsidRPr="00815522" w:rsidRDefault="00815522" w:rsidP="00815522">
      <w:pPr>
        <w:jc w:val="both"/>
        <w:rPr>
          <w:rFonts w:eastAsia="Times New Roman"/>
          <w:b/>
          <w:i/>
          <w:sz w:val="22"/>
          <w:szCs w:val="22"/>
        </w:rPr>
      </w:pPr>
    </w:p>
    <w:p w:rsidR="00815522" w:rsidRPr="00815522" w:rsidRDefault="00815522" w:rsidP="00815522">
      <w:pPr>
        <w:jc w:val="both"/>
        <w:rPr>
          <w:rFonts w:eastAsia="Times New Roman"/>
          <w:b/>
          <w:i/>
          <w:color w:val="FF0000"/>
          <w:sz w:val="22"/>
          <w:szCs w:val="22"/>
        </w:rPr>
      </w:pPr>
    </w:p>
    <w:p w:rsidR="00815522" w:rsidRDefault="00815522" w:rsidP="00815522">
      <w:pPr>
        <w:jc w:val="both"/>
        <w:rPr>
          <w:rFonts w:ascii="Times New Roman" w:eastAsia="Times New Roman" w:hAnsi="Times New Roman" w:cs="Times New Roman"/>
          <w:b/>
          <w:color w:val="38761D"/>
        </w:rPr>
      </w:pPr>
    </w:p>
    <w:p w:rsidR="00815522" w:rsidRPr="00815522" w:rsidRDefault="00815522" w:rsidP="00815522">
      <w:pPr>
        <w:jc w:val="both"/>
        <w:rPr>
          <w:rFonts w:eastAsia="Times New Roman"/>
          <w:b/>
          <w:i/>
          <w:color w:val="FF0000"/>
          <w:sz w:val="22"/>
        </w:rPr>
      </w:pPr>
    </w:p>
    <w:p w:rsidR="00815522" w:rsidRPr="00815522" w:rsidRDefault="00815522" w:rsidP="00815522">
      <w:pPr>
        <w:jc w:val="both"/>
        <w:rPr>
          <w:rFonts w:eastAsia="Times New Roman"/>
          <w:sz w:val="22"/>
        </w:rPr>
      </w:pPr>
    </w:p>
    <w:p w:rsidR="00815522" w:rsidRPr="00815522" w:rsidRDefault="00815522" w:rsidP="00815522">
      <w:pPr>
        <w:jc w:val="both"/>
        <w:rPr>
          <w:rFonts w:eastAsia="Times New Roman"/>
          <w:sz w:val="22"/>
        </w:rPr>
      </w:pPr>
      <w:r w:rsidRPr="00815522">
        <w:rPr>
          <w:rFonts w:eastAsia="Times New Roman"/>
          <w:sz w:val="22"/>
        </w:rPr>
        <w:t>Cordialmente,</w:t>
      </w:r>
    </w:p>
    <w:p w:rsidR="00815522" w:rsidRPr="00815522" w:rsidRDefault="00815522" w:rsidP="00815522">
      <w:pPr>
        <w:jc w:val="both"/>
        <w:rPr>
          <w:rFonts w:eastAsia="Times New Roman"/>
          <w:color w:val="FF0000"/>
          <w:sz w:val="22"/>
        </w:rPr>
      </w:pPr>
    </w:p>
    <w:p w:rsidR="00815522" w:rsidRPr="00815522" w:rsidRDefault="00815522" w:rsidP="00815522">
      <w:pPr>
        <w:jc w:val="both"/>
        <w:rPr>
          <w:rFonts w:eastAsia="Times New Roman"/>
          <w:sz w:val="22"/>
        </w:rPr>
      </w:pPr>
    </w:p>
    <w:tbl>
      <w:tblPr>
        <w:tblW w:w="88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1"/>
        <w:gridCol w:w="4421"/>
      </w:tblGrid>
      <w:tr w:rsidR="00815522" w:rsidRPr="00815522" w:rsidTr="00A33A94">
        <w:trPr>
          <w:trHeight w:val="1880"/>
        </w:trPr>
        <w:tc>
          <w:tcPr>
            <w:tcW w:w="4421" w:type="dxa"/>
            <w:tcBorders>
              <w:top w:val="single" w:sz="8" w:space="0" w:color="FFFFFF"/>
              <w:left w:val="single" w:sz="8" w:space="0" w:color="FFFFFF"/>
              <w:bottom w:val="single" w:sz="8" w:space="0" w:color="FFFFFF"/>
              <w:right w:val="single" w:sz="8" w:space="0" w:color="FFFFFF"/>
            </w:tcBorders>
            <w:shd w:val="clear" w:color="auto" w:fill="FFFFFF"/>
            <w:tcMar>
              <w:top w:w="100" w:type="dxa"/>
              <w:left w:w="100" w:type="dxa"/>
              <w:bottom w:w="100" w:type="dxa"/>
              <w:right w:w="100" w:type="dxa"/>
            </w:tcMar>
          </w:tcPr>
          <w:p w:rsidR="00815522" w:rsidRPr="00815522" w:rsidRDefault="00815522" w:rsidP="00A33A94">
            <w:pPr>
              <w:widowControl w:val="0"/>
              <w:rPr>
                <w:rFonts w:eastAsia="Times New Roman"/>
                <w:sz w:val="22"/>
              </w:rPr>
            </w:pPr>
          </w:p>
          <w:p w:rsidR="00815522" w:rsidRPr="00815522" w:rsidRDefault="00815522" w:rsidP="00A33A94">
            <w:pPr>
              <w:widowControl w:val="0"/>
              <w:rPr>
                <w:rFonts w:eastAsia="Times New Roman"/>
                <w:sz w:val="22"/>
              </w:rPr>
            </w:pPr>
          </w:p>
          <w:p w:rsidR="00815522" w:rsidRPr="00815522" w:rsidRDefault="00815522" w:rsidP="00A33A94">
            <w:pPr>
              <w:widowControl w:val="0"/>
              <w:rPr>
                <w:rFonts w:eastAsia="Times New Roman"/>
                <w:b/>
                <w:sz w:val="22"/>
              </w:rPr>
            </w:pPr>
            <w:r w:rsidRPr="00815522">
              <w:rPr>
                <w:rFonts w:eastAsia="Times New Roman"/>
                <w:b/>
                <w:sz w:val="22"/>
              </w:rPr>
              <w:t>ARMANDO GUTIÉRREZ GONZÁLEZ</w:t>
            </w:r>
          </w:p>
          <w:p w:rsidR="00815522" w:rsidRPr="00815522" w:rsidRDefault="00815522" w:rsidP="00A33A94">
            <w:pPr>
              <w:widowControl w:val="0"/>
              <w:rPr>
                <w:rFonts w:eastAsia="Times New Roman"/>
                <w:sz w:val="22"/>
              </w:rPr>
            </w:pPr>
            <w:r w:rsidRPr="00815522">
              <w:rPr>
                <w:rFonts w:eastAsia="Times New Roman"/>
                <w:sz w:val="22"/>
              </w:rPr>
              <w:t>Concejal de Bogotá D. C.</w:t>
            </w:r>
          </w:p>
          <w:p w:rsidR="00815522" w:rsidRPr="00815522" w:rsidRDefault="00815522" w:rsidP="00A33A94">
            <w:pPr>
              <w:widowControl w:val="0"/>
              <w:rPr>
                <w:rFonts w:eastAsia="Times New Roman"/>
                <w:sz w:val="22"/>
              </w:rPr>
            </w:pPr>
            <w:r w:rsidRPr="00815522">
              <w:rPr>
                <w:rFonts w:eastAsia="Times New Roman"/>
                <w:sz w:val="22"/>
              </w:rPr>
              <w:t>Partido Liberal Colombiano</w:t>
            </w:r>
          </w:p>
          <w:p w:rsidR="00815522" w:rsidRPr="00815522" w:rsidRDefault="00815522" w:rsidP="00A33A94">
            <w:pPr>
              <w:jc w:val="both"/>
              <w:rPr>
                <w:rFonts w:eastAsia="Times New Roman"/>
                <w:b/>
                <w:sz w:val="22"/>
              </w:rPr>
            </w:pPr>
          </w:p>
        </w:tc>
        <w:tc>
          <w:tcPr>
            <w:tcW w:w="4421" w:type="dxa"/>
            <w:tcBorders>
              <w:top w:val="single" w:sz="8" w:space="0" w:color="FFFFFF"/>
              <w:left w:val="single" w:sz="8" w:space="0" w:color="FFFFFF"/>
              <w:bottom w:val="single" w:sz="8" w:space="0" w:color="FFFFFF"/>
              <w:right w:val="single" w:sz="8" w:space="0" w:color="FFFFFF"/>
            </w:tcBorders>
            <w:shd w:val="clear" w:color="auto" w:fill="FFFFFF"/>
            <w:tcMar>
              <w:top w:w="100" w:type="dxa"/>
              <w:left w:w="100" w:type="dxa"/>
              <w:bottom w:w="100" w:type="dxa"/>
              <w:right w:w="100" w:type="dxa"/>
            </w:tcMar>
          </w:tcPr>
          <w:p w:rsidR="00815522" w:rsidRPr="00815522" w:rsidRDefault="00815522" w:rsidP="00A33A94">
            <w:pPr>
              <w:rPr>
                <w:rFonts w:eastAsia="Times New Roman"/>
                <w:sz w:val="22"/>
              </w:rPr>
            </w:pPr>
          </w:p>
          <w:p w:rsidR="00815522" w:rsidRPr="00815522" w:rsidRDefault="00815522" w:rsidP="00A33A94">
            <w:pPr>
              <w:rPr>
                <w:rFonts w:eastAsia="Times New Roman"/>
                <w:sz w:val="22"/>
              </w:rPr>
            </w:pPr>
          </w:p>
          <w:p w:rsidR="00815522" w:rsidRPr="00815522" w:rsidRDefault="00815522" w:rsidP="00A33A94">
            <w:pPr>
              <w:rPr>
                <w:rFonts w:eastAsia="Times New Roman"/>
                <w:sz w:val="22"/>
              </w:rPr>
            </w:pPr>
          </w:p>
          <w:p w:rsidR="00815522" w:rsidRPr="00815522" w:rsidRDefault="00815522" w:rsidP="00A33A94">
            <w:pPr>
              <w:jc w:val="both"/>
              <w:rPr>
                <w:rFonts w:eastAsia="Times New Roman"/>
                <w:sz w:val="22"/>
              </w:rPr>
            </w:pPr>
          </w:p>
          <w:p w:rsidR="00815522" w:rsidRPr="00815522" w:rsidRDefault="00815522" w:rsidP="00A33A94">
            <w:pPr>
              <w:jc w:val="both"/>
              <w:rPr>
                <w:rFonts w:eastAsia="Times New Roman"/>
                <w:sz w:val="22"/>
              </w:rPr>
            </w:pPr>
          </w:p>
          <w:p w:rsidR="00815522" w:rsidRPr="00815522" w:rsidRDefault="00815522" w:rsidP="00A33A94">
            <w:pPr>
              <w:jc w:val="both"/>
              <w:rPr>
                <w:rFonts w:eastAsia="Times New Roman"/>
                <w:sz w:val="22"/>
              </w:rPr>
            </w:pPr>
          </w:p>
        </w:tc>
      </w:tr>
    </w:tbl>
    <w:p w:rsidR="008A790F" w:rsidRDefault="008A790F">
      <w:pPr>
        <w:rPr>
          <w:b/>
          <w:sz w:val="22"/>
          <w:szCs w:val="22"/>
        </w:rPr>
      </w:pPr>
    </w:p>
    <w:p w:rsidR="00815522" w:rsidRDefault="00815522">
      <w:pPr>
        <w:rPr>
          <w:b/>
          <w:sz w:val="22"/>
          <w:szCs w:val="22"/>
        </w:rPr>
      </w:pPr>
    </w:p>
    <w:p w:rsidR="00815522" w:rsidRDefault="00815522">
      <w:pPr>
        <w:rPr>
          <w:b/>
          <w:sz w:val="22"/>
          <w:szCs w:val="22"/>
        </w:rPr>
      </w:pPr>
    </w:p>
    <w:p w:rsidR="00815522" w:rsidRDefault="00815522">
      <w:pPr>
        <w:rPr>
          <w:b/>
          <w:sz w:val="22"/>
          <w:szCs w:val="22"/>
        </w:rPr>
      </w:pPr>
    </w:p>
    <w:p w:rsidR="00815522" w:rsidRDefault="00815522">
      <w:pPr>
        <w:rPr>
          <w:b/>
          <w:sz w:val="22"/>
          <w:szCs w:val="22"/>
        </w:rPr>
      </w:pPr>
    </w:p>
    <w:p w:rsidR="00815522" w:rsidRDefault="00815522">
      <w:pPr>
        <w:rPr>
          <w:b/>
          <w:sz w:val="22"/>
          <w:szCs w:val="22"/>
        </w:rPr>
      </w:pPr>
    </w:p>
    <w:p w:rsidR="008A790F" w:rsidRDefault="008A790F" w:rsidP="00815522">
      <w:pPr>
        <w:rPr>
          <w:b/>
          <w:sz w:val="22"/>
          <w:szCs w:val="22"/>
        </w:rPr>
      </w:pPr>
    </w:p>
    <w:p w:rsidR="008A790F" w:rsidRDefault="00272DD2">
      <w:pPr>
        <w:jc w:val="center"/>
        <w:rPr>
          <w:b/>
          <w:sz w:val="22"/>
          <w:szCs w:val="22"/>
        </w:rPr>
      </w:pPr>
      <w:r>
        <w:rPr>
          <w:b/>
          <w:sz w:val="22"/>
          <w:szCs w:val="22"/>
        </w:rPr>
        <w:t xml:space="preserve">PROYECTO DE ACUERDO No. </w:t>
      </w:r>
      <w:r w:rsidR="00AC2E54">
        <w:rPr>
          <w:b/>
          <w:sz w:val="22"/>
          <w:szCs w:val="22"/>
        </w:rPr>
        <w:t>065</w:t>
      </w:r>
      <w:r>
        <w:rPr>
          <w:b/>
          <w:sz w:val="22"/>
          <w:szCs w:val="22"/>
        </w:rPr>
        <w:t xml:space="preserve"> de 202</w:t>
      </w:r>
      <w:r w:rsidR="00815522">
        <w:rPr>
          <w:b/>
          <w:sz w:val="22"/>
          <w:szCs w:val="22"/>
        </w:rPr>
        <w:t>6</w:t>
      </w:r>
      <w:r>
        <w:rPr>
          <w:b/>
          <w:sz w:val="22"/>
          <w:szCs w:val="22"/>
        </w:rPr>
        <w:t xml:space="preserve"> </w:t>
      </w:r>
    </w:p>
    <w:p w:rsidR="008A790F" w:rsidRPr="002A3FE3" w:rsidRDefault="008A790F" w:rsidP="001974E6">
      <w:pPr>
        <w:rPr>
          <w:b/>
          <w:i/>
          <w:sz w:val="28"/>
          <w:szCs w:val="28"/>
          <w:highlight w:val="white"/>
        </w:rPr>
      </w:pPr>
      <w:bookmarkStart w:id="0" w:name="_GoBack"/>
    </w:p>
    <w:p w:rsidR="008A790F" w:rsidRPr="002A3FE3" w:rsidRDefault="002A3FE3">
      <w:pPr>
        <w:jc w:val="center"/>
        <w:rPr>
          <w:b/>
          <w:sz w:val="28"/>
          <w:szCs w:val="28"/>
        </w:rPr>
      </w:pPr>
      <w:r w:rsidRPr="002A3FE3">
        <w:rPr>
          <w:b/>
          <w:sz w:val="28"/>
          <w:szCs w:val="28"/>
          <w:highlight w:val="white"/>
        </w:rPr>
        <w:t xml:space="preserve">“POR MEDIO DEL CUAL SE ESTABLECEN LINEAMIENTOS PARA PROMOVER LA DEBIDA CLASIFICACIÓN DE RESIDUOS SÓLIDOS DESDE LA FUENTE EN ESTABLECIMIENTOS COMERCIALES DE BOGOTÁ D.C., Y SE DICTAN OTRAS DISPOSICIONES” </w:t>
      </w:r>
    </w:p>
    <w:p w:rsidR="008A790F" w:rsidRPr="002A3FE3" w:rsidRDefault="008A790F">
      <w:pPr>
        <w:rPr>
          <w:b/>
          <w:sz w:val="22"/>
          <w:szCs w:val="22"/>
        </w:rPr>
      </w:pPr>
    </w:p>
    <w:bookmarkEnd w:id="0"/>
    <w:p w:rsidR="008A790F" w:rsidRDefault="008A790F">
      <w:pPr>
        <w:rPr>
          <w:b/>
          <w:sz w:val="22"/>
          <w:szCs w:val="22"/>
        </w:rPr>
      </w:pPr>
    </w:p>
    <w:p w:rsidR="008A790F" w:rsidRDefault="008A790F">
      <w:pPr>
        <w:rPr>
          <w:b/>
          <w:sz w:val="22"/>
          <w:szCs w:val="22"/>
        </w:rPr>
      </w:pPr>
    </w:p>
    <w:p w:rsidR="008A790F" w:rsidRDefault="00272DD2">
      <w:pPr>
        <w:jc w:val="center"/>
        <w:rPr>
          <w:b/>
          <w:sz w:val="22"/>
          <w:szCs w:val="22"/>
        </w:rPr>
      </w:pPr>
      <w:r>
        <w:rPr>
          <w:b/>
          <w:sz w:val="22"/>
          <w:szCs w:val="22"/>
        </w:rPr>
        <w:t>EXPOSICIÓN DE MOTIVOS</w:t>
      </w:r>
    </w:p>
    <w:p w:rsidR="008A790F" w:rsidRDefault="008A790F">
      <w:pPr>
        <w:rPr>
          <w:sz w:val="22"/>
          <w:szCs w:val="22"/>
        </w:rPr>
      </w:pPr>
    </w:p>
    <w:p w:rsidR="008A790F" w:rsidRDefault="008A790F">
      <w:pPr>
        <w:rPr>
          <w:sz w:val="22"/>
          <w:szCs w:val="22"/>
        </w:rPr>
      </w:pPr>
    </w:p>
    <w:p w:rsidR="008A790F" w:rsidRDefault="00272DD2">
      <w:pPr>
        <w:jc w:val="both"/>
        <w:rPr>
          <w:b/>
          <w:sz w:val="22"/>
          <w:szCs w:val="22"/>
        </w:rPr>
      </w:pPr>
      <w:r>
        <w:rPr>
          <w:b/>
          <w:sz w:val="22"/>
          <w:szCs w:val="22"/>
        </w:rPr>
        <w:t>1.- OBJETO</w:t>
      </w:r>
    </w:p>
    <w:p w:rsidR="008A790F" w:rsidRDefault="00272DD2">
      <w:pPr>
        <w:jc w:val="both"/>
        <w:rPr>
          <w:sz w:val="22"/>
          <w:szCs w:val="22"/>
        </w:rPr>
      </w:pPr>
      <w:r>
        <w:rPr>
          <w:sz w:val="22"/>
          <w:szCs w:val="22"/>
        </w:rPr>
        <w:br/>
        <w:t xml:space="preserve">Por medio de la Secretaría Distrital de Ambiente, establecer lineamientos para promover y orientar prácticas que faciliten e incentiven la clasificación de residuos sólidos en la fuente, por parte de los establecimientos de comercio de Bogotá D.C., de acuerdo con los planes institucionales, las disposiciones legales vigentes y a través de incentivos, campañas de sensibilización y programas de reciclaje, con el fin de reducir el impacto ambiental, mejorar la gestión integral de residuos sólidos en la ciudad y reducir la cantidad de residuos enviados al Relleno Sanitario Doña Juana. </w:t>
      </w:r>
    </w:p>
    <w:p w:rsidR="008A790F" w:rsidRDefault="008A790F">
      <w:pPr>
        <w:jc w:val="both"/>
        <w:rPr>
          <w:sz w:val="22"/>
          <w:szCs w:val="22"/>
        </w:rPr>
      </w:pPr>
    </w:p>
    <w:p w:rsidR="008A790F" w:rsidRDefault="008A790F">
      <w:pPr>
        <w:jc w:val="both"/>
        <w:rPr>
          <w:sz w:val="22"/>
          <w:szCs w:val="22"/>
        </w:rPr>
      </w:pPr>
    </w:p>
    <w:p w:rsidR="008A790F" w:rsidRDefault="008A790F">
      <w:pPr>
        <w:jc w:val="both"/>
        <w:rPr>
          <w:b/>
          <w:sz w:val="22"/>
          <w:szCs w:val="22"/>
        </w:rPr>
      </w:pPr>
    </w:p>
    <w:p w:rsidR="008A790F" w:rsidRDefault="00272DD2">
      <w:pPr>
        <w:jc w:val="both"/>
        <w:rPr>
          <w:b/>
          <w:sz w:val="22"/>
          <w:szCs w:val="22"/>
        </w:rPr>
      </w:pPr>
      <w:r>
        <w:rPr>
          <w:b/>
          <w:sz w:val="22"/>
          <w:szCs w:val="22"/>
        </w:rPr>
        <w:t>2.- ANTECEDENTES</w:t>
      </w:r>
    </w:p>
    <w:p w:rsidR="008A790F" w:rsidRDefault="008A790F">
      <w:pPr>
        <w:jc w:val="both"/>
        <w:rPr>
          <w:b/>
          <w:sz w:val="22"/>
          <w:szCs w:val="22"/>
        </w:rPr>
      </w:pPr>
    </w:p>
    <w:p w:rsidR="008A790F" w:rsidRDefault="00272DD2">
      <w:pPr>
        <w:jc w:val="both"/>
        <w:rPr>
          <w:sz w:val="22"/>
          <w:szCs w:val="22"/>
        </w:rPr>
      </w:pPr>
      <w:r>
        <w:rPr>
          <w:sz w:val="22"/>
          <w:szCs w:val="22"/>
        </w:rPr>
        <w:t xml:space="preserve">Una vez revisada la información que reposa en las bases de datos del Concejo de Bogotá, se encontró que la iniciativa no cuenta con antecedente alguno. </w:t>
      </w:r>
    </w:p>
    <w:p w:rsidR="008A790F" w:rsidRDefault="008A790F">
      <w:pPr>
        <w:jc w:val="both"/>
        <w:rPr>
          <w:sz w:val="22"/>
          <w:szCs w:val="22"/>
        </w:rPr>
      </w:pPr>
    </w:p>
    <w:p w:rsidR="008A790F" w:rsidRDefault="00272DD2">
      <w:pPr>
        <w:jc w:val="both"/>
        <w:rPr>
          <w:sz w:val="22"/>
          <w:szCs w:val="22"/>
        </w:rPr>
      </w:pPr>
      <w:r>
        <w:rPr>
          <w:sz w:val="22"/>
          <w:szCs w:val="22"/>
        </w:rPr>
        <w:t>Igualmente cabe señalar que, con el propósito de contribuir a la protección del medio ambiente, en los últimos años se han venido desarrollando normas y Proyectos de Acuerdo que promueven la separación en la fuente, el almacenamiento temporal, la recolección, el transporte, el tratamiento y la disposición final de los residuos sólidos en Bogotá D.C.</w:t>
      </w:r>
      <w:r>
        <w:rPr>
          <w:sz w:val="22"/>
          <w:szCs w:val="22"/>
          <w:highlight w:val="white"/>
        </w:rPr>
        <w:t>;</w:t>
      </w:r>
      <w:r>
        <w:rPr>
          <w:sz w:val="22"/>
          <w:szCs w:val="22"/>
        </w:rPr>
        <w:t xml:space="preserve"> sin embargo, dicha promoción se queda corta a la hora de hacer que el Distrito Capital aborde la iniciativa en línea con el marco normativo nacional, donde se cumplan los deberes normativos en cabeza de los usuarios no residenciales del servicio público de aseo como generadores de residuos sólidos ordinarios y especiales, en el marco de la gestión integral de residuos sólidos y su separación desde la fuente. </w:t>
      </w:r>
    </w:p>
    <w:p w:rsidR="008A790F" w:rsidRDefault="008A790F">
      <w:pPr>
        <w:jc w:val="both"/>
        <w:rPr>
          <w:sz w:val="22"/>
          <w:szCs w:val="22"/>
        </w:rPr>
      </w:pPr>
    </w:p>
    <w:p w:rsidR="008A790F" w:rsidRDefault="00272DD2">
      <w:pPr>
        <w:jc w:val="both"/>
        <w:rPr>
          <w:sz w:val="22"/>
          <w:szCs w:val="22"/>
        </w:rPr>
      </w:pPr>
      <w:r>
        <w:rPr>
          <w:sz w:val="22"/>
          <w:szCs w:val="22"/>
        </w:rPr>
        <w:t xml:space="preserve">Para el caso puntual, se encuentra el Acuerdo No. 726 </w:t>
      </w:r>
      <w:proofErr w:type="gramStart"/>
      <w:r>
        <w:rPr>
          <w:sz w:val="22"/>
          <w:szCs w:val="22"/>
        </w:rPr>
        <w:t>de  2018</w:t>
      </w:r>
      <w:proofErr w:type="gramEnd"/>
      <w:r>
        <w:rPr>
          <w:sz w:val="22"/>
          <w:szCs w:val="22"/>
        </w:rPr>
        <w:t xml:space="preserve">, por medio del cual se implementan medidas que promuevan la gestión de residuos sólidos en el Distrito Capital; el cual tiene como objetivo generar estrategias de recuperación y aprovechamiento, e </w:t>
      </w:r>
      <w:r>
        <w:rPr>
          <w:sz w:val="22"/>
          <w:szCs w:val="22"/>
        </w:rPr>
        <w:lastRenderedPageBreak/>
        <w:t xml:space="preserve">incentivar a las entidades distritales a consolidar las buenas prácticas en materia de gestión integral de los residuos sólidos. Igualmente se encuentra el Proyecto de Acuerdo N°. 156 de 2016, por el cual se establece el objetivo basura cero como lineamiento de las políticas distritales sobre el manejo y gestión de los residuos sólidos en el distrito capital, y que tiene como objetivo estimular la producción de bienes de consumo reutilizables o biodegradables, al igual que construir una cultura de recolección separada de residuos y aprovechamiento final de estos. </w:t>
      </w:r>
    </w:p>
    <w:p w:rsidR="008A790F" w:rsidRDefault="008A790F">
      <w:pPr>
        <w:jc w:val="both"/>
        <w:rPr>
          <w:sz w:val="22"/>
          <w:szCs w:val="22"/>
        </w:rPr>
      </w:pPr>
    </w:p>
    <w:p w:rsidR="008A790F" w:rsidRDefault="00272DD2">
      <w:pPr>
        <w:jc w:val="both"/>
        <w:rPr>
          <w:sz w:val="22"/>
          <w:szCs w:val="22"/>
        </w:rPr>
      </w:pPr>
      <w:r>
        <w:rPr>
          <w:sz w:val="22"/>
          <w:szCs w:val="22"/>
        </w:rPr>
        <w:t xml:space="preserve">Dicho esto, se evidencia que las iniciativas dadas en Bogotá D.C. en torno a la clasificación de basura y otras prácticas relacionadas con la gestión de residuos, están reguladas principalmente por medidas y estrategias ambientales y de saneamiento básico, las cuales simplemente incluyen recomendaciones y algunos lineamientos generales para promover la reducción en la generación de residuos, la separación en la fuente, el reciclaje y la disposición final adecuada; evidenciándose así que dichas iniciativas no contemplan la ampliación y aplicación de lineamientos que abordan a los principales generadores de residuos sólidos de la ciudad,  como lo son los establecimientos de comercio. </w:t>
      </w:r>
    </w:p>
    <w:p w:rsidR="008A790F" w:rsidRDefault="008A790F">
      <w:pPr>
        <w:jc w:val="both"/>
        <w:rPr>
          <w:sz w:val="22"/>
          <w:szCs w:val="22"/>
        </w:rPr>
      </w:pPr>
    </w:p>
    <w:p w:rsidR="008A790F" w:rsidRDefault="00272DD2">
      <w:pPr>
        <w:jc w:val="both"/>
        <w:rPr>
          <w:b/>
          <w:sz w:val="22"/>
          <w:szCs w:val="22"/>
        </w:rPr>
      </w:pPr>
      <w:r>
        <w:rPr>
          <w:sz w:val="22"/>
          <w:szCs w:val="22"/>
        </w:rPr>
        <w:t xml:space="preserve">Es así que, el interés de esta iniciativa se centra en que la </w:t>
      </w:r>
      <w:r>
        <w:rPr>
          <w:sz w:val="22"/>
          <w:szCs w:val="22"/>
          <w:highlight w:val="white"/>
        </w:rPr>
        <w:t xml:space="preserve">gestión adecuada de los residuos sólidos en Bogotá, trascienda más allá de la recolección y transporte que hoy por hoy se hace desde las estaciones de clasificación y aprovechamiento o disposición final; para que por medio de la Secretaría Distrital de Ambiente, como </w:t>
      </w:r>
      <w:r>
        <w:rPr>
          <w:sz w:val="22"/>
          <w:szCs w:val="22"/>
        </w:rPr>
        <w:t xml:space="preserve"> la entidad encargada de vigilar y supervisar el cumplimiento de las normativas relacionadas con la gestión de residuos sólidos, se implementen nuevos lineamientos que se articulen con los contenidos normativos y así mismo se haga un seguimiento efectivo de la separación en la fuente, que permita verificar el cumplimiento de las obligaciones ambientales contenidas en el marco jurídico aquí relacionado por medio de la gestión efectiva y eficiente de los mismos y tomando medidas correctivas respecto a la clasificación en la fuente, haciendo que esto influya en la reducción de basuras, mejor aprovechamiento de los residuos sólidos provenientes de los principales generadores y finalmente en la reducción de la contaminación ambiental. </w:t>
      </w:r>
    </w:p>
    <w:p w:rsidR="008A790F" w:rsidRDefault="00272DD2">
      <w:pPr>
        <w:jc w:val="both"/>
        <w:rPr>
          <w:sz w:val="22"/>
          <w:szCs w:val="22"/>
        </w:rPr>
      </w:pPr>
      <w:r>
        <w:rPr>
          <w:sz w:val="22"/>
          <w:szCs w:val="22"/>
        </w:rPr>
        <w:br/>
      </w:r>
    </w:p>
    <w:p w:rsidR="008A790F" w:rsidRDefault="00272DD2">
      <w:pPr>
        <w:jc w:val="both"/>
        <w:rPr>
          <w:b/>
          <w:sz w:val="22"/>
          <w:szCs w:val="22"/>
          <w:highlight w:val="white"/>
        </w:rPr>
      </w:pPr>
      <w:r>
        <w:rPr>
          <w:b/>
          <w:sz w:val="22"/>
          <w:szCs w:val="22"/>
          <w:highlight w:val="white"/>
        </w:rPr>
        <w:t>3.- JUSTIFICACIÓN DEL AUTOR PARA PRESENTAR EL PROYECTO DE ACUERDO</w:t>
      </w:r>
    </w:p>
    <w:p w:rsidR="008A790F" w:rsidRDefault="008A790F">
      <w:pPr>
        <w:jc w:val="both"/>
        <w:rPr>
          <w:sz w:val="22"/>
          <w:szCs w:val="22"/>
          <w:highlight w:val="white"/>
        </w:rPr>
      </w:pPr>
    </w:p>
    <w:p w:rsidR="001974E6" w:rsidRDefault="00272DD2">
      <w:pPr>
        <w:jc w:val="both"/>
        <w:rPr>
          <w:sz w:val="22"/>
          <w:szCs w:val="22"/>
          <w:highlight w:val="white"/>
        </w:rPr>
      </w:pPr>
      <w:r>
        <w:rPr>
          <w:sz w:val="22"/>
          <w:szCs w:val="22"/>
          <w:highlight w:val="white"/>
        </w:rPr>
        <w:t xml:space="preserve">En materia de residuos sólidos, es importante tener en cuenta el más reciente informe del Global </w:t>
      </w:r>
      <w:proofErr w:type="spellStart"/>
      <w:r>
        <w:rPr>
          <w:sz w:val="22"/>
          <w:szCs w:val="22"/>
          <w:highlight w:val="white"/>
        </w:rPr>
        <w:t>Waste</w:t>
      </w:r>
      <w:proofErr w:type="spellEnd"/>
      <w:r>
        <w:rPr>
          <w:sz w:val="22"/>
          <w:szCs w:val="22"/>
          <w:highlight w:val="white"/>
        </w:rPr>
        <w:t xml:space="preserve"> Management Outlook 2024 (GWMO), publicado por el Programa de las Naciones Unidas para el Medio Ambiente (PNUMA) en colaboración con la Asociación Internacional de Residuos Sólidos (ISWA), el cual revela una preocupante situación respecto a la gestión de residuos sólidos, donde se advirtió que de mantenerse los patrones actuales respecto a la gestión inadecuada de la basura, se espera que la generación total de residuos sólidos a nivel mundial aumente casi un 80% entre 2020 y 2050; indicando así la necesidad de:</w:t>
      </w:r>
    </w:p>
    <w:p w:rsidR="008A790F" w:rsidRDefault="008A790F">
      <w:pPr>
        <w:jc w:val="both"/>
        <w:rPr>
          <w:sz w:val="22"/>
          <w:szCs w:val="22"/>
          <w:highlight w:val="white"/>
        </w:rPr>
      </w:pPr>
    </w:p>
    <w:p w:rsidR="008A790F" w:rsidRDefault="00272DD2">
      <w:pPr>
        <w:numPr>
          <w:ilvl w:val="0"/>
          <w:numId w:val="3"/>
        </w:numPr>
        <w:jc w:val="both"/>
        <w:rPr>
          <w:sz w:val="22"/>
          <w:szCs w:val="22"/>
          <w:highlight w:val="white"/>
        </w:rPr>
      </w:pPr>
      <w:r>
        <w:rPr>
          <w:sz w:val="22"/>
          <w:szCs w:val="22"/>
          <w:highlight w:val="white"/>
        </w:rPr>
        <w:t xml:space="preserve">Implementar acciones concretas para desvincular el desarrollo económico de la generación de residuos, </w:t>
      </w:r>
    </w:p>
    <w:p w:rsidR="008A790F" w:rsidRDefault="00272DD2">
      <w:pPr>
        <w:numPr>
          <w:ilvl w:val="0"/>
          <w:numId w:val="3"/>
        </w:numPr>
        <w:jc w:val="both"/>
        <w:rPr>
          <w:sz w:val="22"/>
          <w:szCs w:val="22"/>
          <w:highlight w:val="white"/>
        </w:rPr>
      </w:pPr>
      <w:r>
        <w:rPr>
          <w:sz w:val="22"/>
          <w:szCs w:val="22"/>
          <w:highlight w:val="white"/>
        </w:rPr>
        <w:t xml:space="preserve">Prevenir los residuos y </w:t>
      </w:r>
    </w:p>
    <w:p w:rsidR="008A790F" w:rsidRDefault="00272DD2">
      <w:pPr>
        <w:numPr>
          <w:ilvl w:val="0"/>
          <w:numId w:val="3"/>
        </w:numPr>
        <w:jc w:val="both"/>
        <w:rPr>
          <w:sz w:val="22"/>
          <w:szCs w:val="22"/>
          <w:highlight w:val="white"/>
        </w:rPr>
      </w:pPr>
      <w:r>
        <w:rPr>
          <w:sz w:val="22"/>
          <w:szCs w:val="22"/>
          <w:highlight w:val="white"/>
        </w:rPr>
        <w:lastRenderedPageBreak/>
        <w:t xml:space="preserve">Mejorar la </w:t>
      </w:r>
      <w:proofErr w:type="spellStart"/>
      <w:r>
        <w:rPr>
          <w:sz w:val="22"/>
          <w:szCs w:val="22"/>
          <w:highlight w:val="white"/>
        </w:rPr>
        <w:t>reciclabilidad</w:t>
      </w:r>
      <w:proofErr w:type="spellEnd"/>
      <w:r>
        <w:rPr>
          <w:sz w:val="22"/>
          <w:szCs w:val="22"/>
          <w:highlight w:val="white"/>
        </w:rPr>
        <w:t xml:space="preserve"> de los residuos inevitables.</w:t>
      </w:r>
    </w:p>
    <w:p w:rsidR="008A790F" w:rsidRDefault="008A790F">
      <w:pPr>
        <w:jc w:val="both"/>
        <w:rPr>
          <w:sz w:val="22"/>
          <w:szCs w:val="22"/>
          <w:highlight w:val="white"/>
        </w:rPr>
      </w:pPr>
    </w:p>
    <w:p w:rsidR="008A790F" w:rsidRDefault="00272DD2">
      <w:pPr>
        <w:jc w:val="both"/>
        <w:rPr>
          <w:sz w:val="22"/>
          <w:szCs w:val="22"/>
          <w:highlight w:val="white"/>
        </w:rPr>
      </w:pPr>
      <w:r>
        <w:rPr>
          <w:sz w:val="22"/>
          <w:szCs w:val="22"/>
          <w:highlight w:val="white"/>
        </w:rPr>
        <w:t xml:space="preserve">En Colombia, los establecimientos de comercio en el desarrollo de su actividad económica son unos de los principales generadores de los residuos sólidos sobre los que trata el mencionado informe; pues de acuerdo con la Cuenta Ambiental y Económica de Flujos de Materiales – Residuos Sólidos 2020 – 2021p presentada por el DANE, se indicó que en 2021 la oferta de residuos sólidos y productos residuales derivados de los procesos de producción, consumo y acumulación ascendió a 30,31 millones de toneladas, en donde el 82,2%, que corresponde a 24,90 millones de toneladas, pertenecen a residuos sólidos. Esto muestra un crecimiento con relación al año 2020, explicado por un aumento del 7,8% en </w:t>
      </w:r>
      <w:proofErr w:type="gramStart"/>
      <w:r>
        <w:rPr>
          <w:sz w:val="22"/>
          <w:szCs w:val="22"/>
          <w:highlight w:val="white"/>
        </w:rPr>
        <w:t>las millones</w:t>
      </w:r>
      <w:proofErr w:type="gramEnd"/>
      <w:r>
        <w:rPr>
          <w:sz w:val="22"/>
          <w:szCs w:val="22"/>
          <w:highlight w:val="white"/>
        </w:rPr>
        <w:t xml:space="preserve"> de toneladas de residuos generados por las actividades económicas e importaciones. Cifras que se evidencian en la siguiente gráfica:</w:t>
      </w:r>
    </w:p>
    <w:p w:rsidR="008A790F" w:rsidRDefault="008A790F">
      <w:pPr>
        <w:jc w:val="both"/>
        <w:rPr>
          <w:sz w:val="22"/>
          <w:szCs w:val="22"/>
          <w:highlight w:val="white"/>
        </w:rPr>
      </w:pPr>
    </w:p>
    <w:p w:rsidR="008A790F" w:rsidRDefault="008A790F">
      <w:pPr>
        <w:jc w:val="both"/>
        <w:rPr>
          <w:sz w:val="22"/>
          <w:szCs w:val="22"/>
          <w:highlight w:val="white"/>
        </w:rPr>
      </w:pPr>
    </w:p>
    <w:p w:rsidR="008A790F" w:rsidRDefault="00272DD2">
      <w:pPr>
        <w:jc w:val="center"/>
        <w:rPr>
          <w:b/>
          <w:sz w:val="22"/>
          <w:szCs w:val="22"/>
          <w:highlight w:val="white"/>
        </w:rPr>
      </w:pPr>
      <w:r>
        <w:rPr>
          <w:b/>
          <w:sz w:val="22"/>
          <w:szCs w:val="22"/>
          <w:highlight w:val="white"/>
        </w:rPr>
        <w:t xml:space="preserve">Oferta de residuos sólidos y productos residuales (millones de toneladas) Total nacional 2012-2021p </w:t>
      </w:r>
    </w:p>
    <w:p w:rsidR="008A790F" w:rsidRDefault="008A790F">
      <w:pPr>
        <w:jc w:val="both"/>
        <w:rPr>
          <w:sz w:val="22"/>
          <w:szCs w:val="22"/>
          <w:highlight w:val="white"/>
        </w:rPr>
      </w:pPr>
    </w:p>
    <w:p w:rsidR="008A790F" w:rsidRDefault="00272DD2">
      <w:pPr>
        <w:jc w:val="both"/>
        <w:rPr>
          <w:sz w:val="22"/>
          <w:szCs w:val="22"/>
          <w:highlight w:val="white"/>
        </w:rPr>
      </w:pPr>
      <w:r>
        <w:rPr>
          <w:noProof/>
          <w:sz w:val="22"/>
          <w:szCs w:val="22"/>
          <w:highlight w:val="white"/>
          <w:lang w:val="es-CO"/>
        </w:rPr>
        <w:drawing>
          <wp:inline distT="114300" distB="114300" distL="114300" distR="114300">
            <wp:extent cx="5612130" cy="2413000"/>
            <wp:effectExtent l="0" t="0" r="0" b="0"/>
            <wp:docPr id="2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612130" cy="2413000"/>
                    </a:xfrm>
                    <a:prstGeom prst="rect">
                      <a:avLst/>
                    </a:prstGeom>
                    <a:ln/>
                  </pic:spPr>
                </pic:pic>
              </a:graphicData>
            </a:graphic>
          </wp:inline>
        </w:drawing>
      </w:r>
    </w:p>
    <w:p w:rsidR="008A790F" w:rsidRDefault="00272DD2">
      <w:pPr>
        <w:jc w:val="center"/>
        <w:rPr>
          <w:sz w:val="18"/>
          <w:szCs w:val="18"/>
          <w:highlight w:val="white"/>
        </w:rPr>
      </w:pPr>
      <w:r>
        <w:rPr>
          <w:sz w:val="18"/>
          <w:szCs w:val="18"/>
          <w:highlight w:val="white"/>
        </w:rPr>
        <w:t>Fuente: DANE, CAEFM-RS. (2023)</w:t>
      </w:r>
    </w:p>
    <w:p w:rsidR="008A790F" w:rsidRDefault="008A790F">
      <w:pPr>
        <w:jc w:val="both"/>
        <w:rPr>
          <w:sz w:val="22"/>
          <w:szCs w:val="22"/>
          <w:highlight w:val="white"/>
        </w:rPr>
      </w:pPr>
    </w:p>
    <w:p w:rsidR="008A790F" w:rsidRDefault="008A790F">
      <w:pPr>
        <w:jc w:val="both"/>
        <w:rPr>
          <w:sz w:val="22"/>
          <w:szCs w:val="22"/>
          <w:highlight w:val="white"/>
        </w:rPr>
      </w:pPr>
    </w:p>
    <w:p w:rsidR="008A790F" w:rsidRDefault="00272DD2">
      <w:pPr>
        <w:jc w:val="both"/>
        <w:rPr>
          <w:sz w:val="22"/>
          <w:szCs w:val="22"/>
        </w:rPr>
      </w:pPr>
      <w:r>
        <w:rPr>
          <w:sz w:val="22"/>
          <w:szCs w:val="22"/>
        </w:rPr>
        <w:t xml:space="preserve">Dicho esto, en Bogotá y conforme a datos brindados por la Secretaría Distrital de Planeación (2023), el número de establecimientos de comercio con matrícula activa en la ciudad, a marzo de 2023, correspondía a 132.377 establecimientos, distribuidos en actividades económicas tal y como se muestra a continuación:  </w:t>
      </w:r>
    </w:p>
    <w:p w:rsidR="008A790F" w:rsidRDefault="00272DD2">
      <w:pPr>
        <w:jc w:val="both"/>
        <w:rPr>
          <w:sz w:val="22"/>
          <w:szCs w:val="22"/>
        </w:rPr>
      </w:pPr>
      <w:r>
        <w:rPr>
          <w:noProof/>
          <w:sz w:val="22"/>
          <w:szCs w:val="22"/>
          <w:lang w:val="es-CO"/>
        </w:rPr>
        <w:drawing>
          <wp:inline distT="114300" distB="114300" distL="114300" distR="114300">
            <wp:extent cx="3620453" cy="477114"/>
            <wp:effectExtent l="0" t="0" r="0" b="0"/>
            <wp:docPr id="2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3620453" cy="477114"/>
                    </a:xfrm>
                    <a:prstGeom prst="rect">
                      <a:avLst/>
                    </a:prstGeom>
                    <a:ln/>
                  </pic:spPr>
                </pic:pic>
              </a:graphicData>
            </a:graphic>
          </wp:inline>
        </w:drawing>
      </w:r>
    </w:p>
    <w:p w:rsidR="008A790F" w:rsidRDefault="00272DD2">
      <w:pPr>
        <w:jc w:val="both"/>
        <w:rPr>
          <w:sz w:val="22"/>
          <w:szCs w:val="22"/>
        </w:rPr>
      </w:pPr>
      <w:r>
        <w:rPr>
          <w:noProof/>
          <w:sz w:val="22"/>
          <w:szCs w:val="22"/>
          <w:lang w:val="es-CO"/>
        </w:rPr>
        <w:lastRenderedPageBreak/>
        <w:drawing>
          <wp:inline distT="114300" distB="114300" distL="114300" distR="114300">
            <wp:extent cx="3606294" cy="4317394"/>
            <wp:effectExtent l="0" t="0" r="0" b="0"/>
            <wp:docPr id="2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3606294" cy="4317394"/>
                    </a:xfrm>
                    <a:prstGeom prst="rect">
                      <a:avLst/>
                    </a:prstGeom>
                    <a:ln/>
                  </pic:spPr>
                </pic:pic>
              </a:graphicData>
            </a:graphic>
          </wp:inline>
        </w:drawing>
      </w:r>
    </w:p>
    <w:p w:rsidR="008A790F" w:rsidRDefault="00272DD2">
      <w:pPr>
        <w:jc w:val="center"/>
        <w:rPr>
          <w:sz w:val="22"/>
          <w:szCs w:val="22"/>
          <w:highlight w:val="white"/>
        </w:rPr>
      </w:pPr>
      <w:r>
        <w:rPr>
          <w:sz w:val="18"/>
          <w:szCs w:val="18"/>
        </w:rPr>
        <w:t xml:space="preserve">Fuente: Secretaría Distrital de Planeación. (Con corte a marzo 31 de 2023) </w:t>
      </w:r>
    </w:p>
    <w:p w:rsidR="008A790F" w:rsidRDefault="008A790F">
      <w:pPr>
        <w:jc w:val="both"/>
        <w:rPr>
          <w:sz w:val="22"/>
          <w:szCs w:val="22"/>
          <w:highlight w:val="white"/>
        </w:rPr>
      </w:pPr>
    </w:p>
    <w:p w:rsidR="008A790F" w:rsidRDefault="008A790F">
      <w:pPr>
        <w:jc w:val="both"/>
        <w:rPr>
          <w:sz w:val="22"/>
          <w:szCs w:val="22"/>
          <w:highlight w:val="white"/>
        </w:rPr>
      </w:pPr>
    </w:p>
    <w:p w:rsidR="008A790F" w:rsidRDefault="00272DD2">
      <w:pPr>
        <w:jc w:val="both"/>
        <w:rPr>
          <w:sz w:val="22"/>
          <w:szCs w:val="22"/>
          <w:highlight w:val="white"/>
        </w:rPr>
      </w:pPr>
      <w:r>
        <w:rPr>
          <w:sz w:val="22"/>
          <w:szCs w:val="22"/>
          <w:highlight w:val="white"/>
        </w:rPr>
        <w:t xml:space="preserve">En Bogotá existe un alto número de establecimientos de comercio, por ello la importancia de tomar medidas efectivas frente a estos como uno de los principales generadores de residuos sólidos según lo indicado por el DANE. Se hace necesario dictar nuevos lineamientos, en donde se promueva que los establecimientos de comercio implementen el esquema de clasificación en la fuente y la recolección selectiva de residuos sólidos de acuerdo a las normas ambientales vigentes, estando así mismo sujetos a la supervisión y regulación de la Secretaría Distrital de Ambiente en lo que respecta a dicha clasificación y a otras actividades relacionadas con la gestión integral de residuos sólidos en la ciudad. </w:t>
      </w:r>
    </w:p>
    <w:p w:rsidR="008A790F" w:rsidRDefault="008A790F">
      <w:pPr>
        <w:jc w:val="both"/>
        <w:rPr>
          <w:sz w:val="22"/>
          <w:szCs w:val="22"/>
          <w:highlight w:val="white"/>
        </w:rPr>
      </w:pPr>
    </w:p>
    <w:p w:rsidR="008A790F" w:rsidRDefault="00272DD2">
      <w:pPr>
        <w:jc w:val="both"/>
        <w:rPr>
          <w:sz w:val="22"/>
          <w:szCs w:val="22"/>
          <w:highlight w:val="white"/>
        </w:rPr>
      </w:pPr>
      <w:r>
        <w:rPr>
          <w:sz w:val="22"/>
          <w:szCs w:val="22"/>
          <w:highlight w:val="white"/>
        </w:rPr>
        <w:t xml:space="preserve">Por otro lado, es de resaltar que según el informe del Global </w:t>
      </w:r>
      <w:proofErr w:type="spellStart"/>
      <w:r>
        <w:rPr>
          <w:sz w:val="22"/>
          <w:szCs w:val="22"/>
          <w:highlight w:val="white"/>
        </w:rPr>
        <w:t>Waste</w:t>
      </w:r>
      <w:proofErr w:type="spellEnd"/>
      <w:r>
        <w:rPr>
          <w:sz w:val="22"/>
          <w:szCs w:val="22"/>
          <w:highlight w:val="white"/>
        </w:rPr>
        <w:t xml:space="preserve"> Management Outlook 2024, mencionado al inicio de esta justificación, se proyecta </w:t>
      </w:r>
      <w:proofErr w:type="gramStart"/>
      <w:r>
        <w:rPr>
          <w:sz w:val="22"/>
          <w:szCs w:val="22"/>
          <w:highlight w:val="white"/>
        </w:rPr>
        <w:t>que</w:t>
      </w:r>
      <w:proofErr w:type="gramEnd"/>
      <w:r>
        <w:rPr>
          <w:sz w:val="22"/>
          <w:szCs w:val="22"/>
          <w:highlight w:val="white"/>
        </w:rPr>
        <w:t xml:space="preserve"> de mantenerse el modelo actual de disposición final de residuos sólidos, la cantidad de residuos enviados a destinos no controlados se duplicará en las próximas décadas, lo cual afectaría principalmente a los países en desarrollo, donde la infraestructura tiende a ser inadecuada. </w:t>
      </w:r>
    </w:p>
    <w:p w:rsidR="008A790F" w:rsidRDefault="008A790F">
      <w:pPr>
        <w:jc w:val="both"/>
        <w:rPr>
          <w:sz w:val="22"/>
          <w:szCs w:val="22"/>
          <w:highlight w:val="white"/>
        </w:rPr>
      </w:pPr>
    </w:p>
    <w:p w:rsidR="008A790F" w:rsidRDefault="00272DD2">
      <w:pPr>
        <w:jc w:val="both"/>
        <w:rPr>
          <w:sz w:val="22"/>
          <w:szCs w:val="22"/>
          <w:highlight w:val="white"/>
        </w:rPr>
      </w:pPr>
      <w:r>
        <w:rPr>
          <w:sz w:val="22"/>
          <w:szCs w:val="22"/>
          <w:highlight w:val="white"/>
        </w:rPr>
        <w:lastRenderedPageBreak/>
        <w:t xml:space="preserve">Los rellenos sanitarios son la estrategia de disposición final de los residuos sólidos más utilizada en el mundo, los cuales tienen una vida útil y una vez sobrepasan su uso, esto lleva a efectos nocivos sobre el medio ambiente por la generación de gases y lixiviados; donde  también es importante tener presente que esta presión de basuras sobre el terreno y sus alrededores, puede generar presiones ambientales por contaminación del aire, agua, suelo y alteración paisajística (Álvarez et al., 2021) </w:t>
      </w:r>
    </w:p>
    <w:p w:rsidR="008A790F" w:rsidRDefault="008A790F">
      <w:pPr>
        <w:jc w:val="both"/>
        <w:rPr>
          <w:sz w:val="22"/>
          <w:szCs w:val="22"/>
          <w:highlight w:val="white"/>
        </w:rPr>
      </w:pPr>
    </w:p>
    <w:p w:rsidR="008A790F" w:rsidRDefault="00272DD2">
      <w:pPr>
        <w:jc w:val="both"/>
        <w:rPr>
          <w:sz w:val="22"/>
          <w:szCs w:val="22"/>
          <w:highlight w:val="white"/>
        </w:rPr>
      </w:pPr>
      <w:r>
        <w:rPr>
          <w:sz w:val="22"/>
          <w:szCs w:val="22"/>
          <w:highlight w:val="white"/>
        </w:rPr>
        <w:t xml:space="preserve">Particularmente en economías emergentes y países en desarrollo como Colombia, la creciente generación de residuos sólidos se está convirtiendo en un problema preocupante por la insuficiente e inadecuada infraestructura para disponer de estos. En el año 2022 se dispusieron en promedio 11.983.709,70 toneladas de residuos sólidos en el marco del servicio público de aseo en el territorio nacional, lo cual representó un aumento del 0,26% respecto al año 2021, donde del total de toneladas diarias dispuestas, el 43,7% corresponde a las 8 ciudades con mayor población, dentro de las que está Bogotá D.C. tal y como se evidencia en la siguiente tabla (SSPD, 2023). </w:t>
      </w:r>
    </w:p>
    <w:p w:rsidR="008A790F" w:rsidRDefault="008A790F">
      <w:pPr>
        <w:jc w:val="both"/>
        <w:rPr>
          <w:sz w:val="22"/>
          <w:szCs w:val="22"/>
          <w:highlight w:val="white"/>
        </w:rPr>
      </w:pPr>
    </w:p>
    <w:p w:rsidR="008A790F" w:rsidRDefault="008A790F">
      <w:pPr>
        <w:jc w:val="both"/>
        <w:rPr>
          <w:sz w:val="22"/>
          <w:szCs w:val="22"/>
          <w:highlight w:val="white"/>
        </w:rPr>
      </w:pPr>
    </w:p>
    <w:p w:rsidR="008A790F" w:rsidRDefault="00272DD2">
      <w:pPr>
        <w:jc w:val="both"/>
        <w:rPr>
          <w:sz w:val="22"/>
          <w:szCs w:val="22"/>
          <w:highlight w:val="white"/>
        </w:rPr>
      </w:pPr>
      <w:r>
        <w:rPr>
          <w:noProof/>
          <w:sz w:val="22"/>
          <w:szCs w:val="22"/>
          <w:highlight w:val="white"/>
          <w:lang w:val="es-CO"/>
        </w:rPr>
        <w:drawing>
          <wp:inline distT="114300" distB="114300" distL="114300" distR="114300">
            <wp:extent cx="5612130" cy="609600"/>
            <wp:effectExtent l="0" t="0" r="0" b="0"/>
            <wp:docPr id="2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5612130" cy="609600"/>
                    </a:xfrm>
                    <a:prstGeom prst="rect">
                      <a:avLst/>
                    </a:prstGeom>
                    <a:ln/>
                  </pic:spPr>
                </pic:pic>
              </a:graphicData>
            </a:graphic>
          </wp:inline>
        </w:drawing>
      </w:r>
    </w:p>
    <w:p w:rsidR="008A790F" w:rsidRDefault="00272DD2">
      <w:pPr>
        <w:jc w:val="center"/>
        <w:rPr>
          <w:sz w:val="18"/>
          <w:szCs w:val="18"/>
          <w:highlight w:val="white"/>
        </w:rPr>
      </w:pPr>
      <w:r>
        <w:rPr>
          <w:sz w:val="18"/>
          <w:szCs w:val="18"/>
          <w:highlight w:val="white"/>
        </w:rPr>
        <w:t>Fuente</w:t>
      </w:r>
      <w:proofErr w:type="gramStart"/>
      <w:r>
        <w:rPr>
          <w:sz w:val="18"/>
          <w:szCs w:val="18"/>
          <w:highlight w:val="white"/>
        </w:rPr>
        <w:t>: :</w:t>
      </w:r>
      <w:proofErr w:type="gramEnd"/>
      <w:r>
        <w:rPr>
          <w:sz w:val="18"/>
          <w:szCs w:val="18"/>
          <w:highlight w:val="white"/>
        </w:rPr>
        <w:t xml:space="preserve"> Base de disposición final 2022. Cálculos SSPD</w:t>
      </w:r>
    </w:p>
    <w:p w:rsidR="008A790F" w:rsidRDefault="008A790F">
      <w:pPr>
        <w:jc w:val="center"/>
        <w:rPr>
          <w:sz w:val="18"/>
          <w:szCs w:val="18"/>
          <w:highlight w:val="white"/>
        </w:rPr>
      </w:pPr>
    </w:p>
    <w:p w:rsidR="008A790F" w:rsidRDefault="008A790F">
      <w:pPr>
        <w:jc w:val="both"/>
        <w:rPr>
          <w:sz w:val="22"/>
          <w:szCs w:val="22"/>
          <w:highlight w:val="white"/>
        </w:rPr>
      </w:pPr>
    </w:p>
    <w:p w:rsidR="008A790F" w:rsidRDefault="00272DD2">
      <w:pPr>
        <w:jc w:val="both"/>
        <w:rPr>
          <w:sz w:val="22"/>
          <w:szCs w:val="22"/>
          <w:highlight w:val="white"/>
        </w:rPr>
      </w:pPr>
      <w:r>
        <w:rPr>
          <w:sz w:val="22"/>
          <w:szCs w:val="22"/>
          <w:highlight w:val="white"/>
        </w:rPr>
        <w:t xml:space="preserve">En materia ambiental y especialmente en lo que se refiere a la clasificación de residuos en la fuente, se encuentran las disposiciones dadas en la Ley 1333 de 2009, Ley 1801 de </w:t>
      </w:r>
      <w:proofErr w:type="gramStart"/>
      <w:r>
        <w:rPr>
          <w:sz w:val="22"/>
          <w:szCs w:val="22"/>
          <w:highlight w:val="white"/>
        </w:rPr>
        <w:t>2016,  el</w:t>
      </w:r>
      <w:proofErr w:type="gramEnd"/>
      <w:r>
        <w:rPr>
          <w:sz w:val="22"/>
          <w:szCs w:val="22"/>
          <w:highlight w:val="white"/>
        </w:rPr>
        <w:t xml:space="preserve"> Decreto 2981 de 2013 y el Decreto 349 de 2014, las cuales son normas que contienen obligaciones y sanciones para los usuarios residenciales y no residenciales  que no separen las basuras debidamente. </w:t>
      </w:r>
      <w:proofErr w:type="gramStart"/>
      <w:r>
        <w:rPr>
          <w:sz w:val="22"/>
          <w:szCs w:val="22"/>
          <w:highlight w:val="white"/>
        </w:rPr>
        <w:t>Igualmente</w:t>
      </w:r>
      <w:proofErr w:type="gramEnd"/>
      <w:r>
        <w:rPr>
          <w:sz w:val="22"/>
          <w:szCs w:val="22"/>
          <w:highlight w:val="white"/>
        </w:rPr>
        <w:t xml:space="preserve"> a nivel nacional, el Decreto 802 de 2022 creó el “Incentivo al Aprovechamiento” como recompensa a las personas prestadoras de las actividades principales y complementarias del servicio público de aseo que separen sus residuos y que se ve reflejada en una reducción de la tarifa de aprovechamiento. </w:t>
      </w:r>
    </w:p>
    <w:p w:rsidR="008A790F" w:rsidRDefault="008A790F">
      <w:pPr>
        <w:jc w:val="both"/>
        <w:rPr>
          <w:sz w:val="22"/>
          <w:szCs w:val="22"/>
          <w:highlight w:val="white"/>
        </w:rPr>
      </w:pPr>
    </w:p>
    <w:p w:rsidR="008A790F" w:rsidRDefault="00272DD2">
      <w:pPr>
        <w:jc w:val="both"/>
        <w:rPr>
          <w:sz w:val="22"/>
          <w:szCs w:val="22"/>
          <w:highlight w:val="white"/>
        </w:rPr>
      </w:pPr>
      <w:r>
        <w:rPr>
          <w:sz w:val="22"/>
          <w:szCs w:val="22"/>
          <w:highlight w:val="white"/>
        </w:rPr>
        <w:t xml:space="preserve">Si bien existen lineamientos, sanciones y la Comisión de Regulación de Agua Potable y Saneamiento Básico (CRA) incluyó incentivos en la fórmula del servicio de aseo para la clasificación y aprovechamiento de los residuos sólidos, las cifras relacionadas anteriormente evidencian que no han sido suficientes los esfuerzos realizados por los gobiernos nacional y distrital en la gestión integral de residuos sólidos. Existe baja cultura de aprovechamiento en todos los actores de la gestión integral de estos residuos, razón por la cual continúan ciertas prácticas, conocimientos, percepciones y valoraciones que no se han extendido a acciones como la separación en la fuente y que requieren indispensablemente del compromiso y participación de la ciudadanía y los agentes comerciales en el desarrollo de su actividad económica. </w:t>
      </w:r>
    </w:p>
    <w:p w:rsidR="008A790F" w:rsidRDefault="008A790F">
      <w:pPr>
        <w:jc w:val="both"/>
        <w:rPr>
          <w:sz w:val="22"/>
          <w:szCs w:val="22"/>
          <w:highlight w:val="white"/>
        </w:rPr>
      </w:pPr>
    </w:p>
    <w:p w:rsidR="008A790F" w:rsidRDefault="00272DD2">
      <w:pPr>
        <w:jc w:val="both"/>
        <w:rPr>
          <w:sz w:val="22"/>
          <w:szCs w:val="22"/>
        </w:rPr>
      </w:pPr>
      <w:r>
        <w:rPr>
          <w:sz w:val="22"/>
          <w:szCs w:val="22"/>
          <w:highlight w:val="white"/>
        </w:rPr>
        <w:t xml:space="preserve">Es así como dicha situación requiere un esfuerzo mayor en el cambio de prácticas interiorizadas y transmitidas, que mediante una estrategia de incentivos, pedagogía y de publicidad amplia y diferenciada por tipo de generador de residuos, involucre a la </w:t>
      </w:r>
      <w:r>
        <w:rPr>
          <w:sz w:val="22"/>
          <w:szCs w:val="22"/>
          <w:highlight w:val="white"/>
        </w:rPr>
        <w:lastRenderedPageBreak/>
        <w:t xml:space="preserve">ciudadanía y convoque a los establecimientos de comercio a generar un compromiso colectivo para un medio ambiente sano y un hábitat digno para los ciudadanos; esto, teniendo en cuenta la importancia de seguir las instrucciones distritales y las políticas de gestión de residuos, que en el caso de Bogotá es el Plan de Gestión Integral de Residuos Sólidos (PGIRS), el documento que dicta los lineamientos para garantizar una separación adecuada y una disposición final responsable de la basura, y el cual </w:t>
      </w:r>
      <w:r>
        <w:rPr>
          <w:sz w:val="22"/>
          <w:szCs w:val="22"/>
        </w:rPr>
        <w:t>adoptó su más reciente actualización por medio del Decreto 345 de 2020</w:t>
      </w:r>
      <w:r>
        <w:rPr>
          <w:sz w:val="22"/>
          <w:szCs w:val="22"/>
          <w:highlight w:val="white"/>
        </w:rPr>
        <w:t xml:space="preserve">, planteando la </w:t>
      </w:r>
      <w:r>
        <w:rPr>
          <w:sz w:val="22"/>
          <w:szCs w:val="22"/>
        </w:rPr>
        <w:t>necesidad de generar articulación interinstitucional para:</w:t>
      </w:r>
    </w:p>
    <w:p w:rsidR="008A790F" w:rsidRDefault="008A790F">
      <w:pPr>
        <w:jc w:val="both"/>
        <w:rPr>
          <w:sz w:val="22"/>
          <w:szCs w:val="22"/>
        </w:rPr>
      </w:pPr>
    </w:p>
    <w:p w:rsidR="008A790F" w:rsidRDefault="00272DD2">
      <w:pPr>
        <w:numPr>
          <w:ilvl w:val="0"/>
          <w:numId w:val="1"/>
        </w:numPr>
        <w:jc w:val="both"/>
        <w:rPr>
          <w:sz w:val="22"/>
          <w:szCs w:val="22"/>
        </w:rPr>
      </w:pPr>
      <w:r>
        <w:rPr>
          <w:sz w:val="22"/>
          <w:szCs w:val="22"/>
        </w:rPr>
        <w:t xml:space="preserve">Generar estrategias de capacitación, formación y sensibilización técnica a las entidades del Distrito, empresas prestadoras del servicio de aseo, operadores del servicio público de aseo, Servicio Público Complementario de Aprovechamiento - SPCA -, generadores y gestores de residuos en el marco de la responsabilidad extendida, para implementar medidas pedagógicas dirigidas a cada tipo de productor de </w:t>
      </w:r>
      <w:proofErr w:type="gramStart"/>
      <w:r>
        <w:rPr>
          <w:sz w:val="22"/>
          <w:szCs w:val="22"/>
        </w:rPr>
        <w:t>residuos  y</w:t>
      </w:r>
      <w:proofErr w:type="gramEnd"/>
      <w:r>
        <w:rPr>
          <w:sz w:val="22"/>
          <w:szCs w:val="22"/>
        </w:rPr>
        <w:t xml:space="preserve"> así fomentar la cultura de separación en la fuente. Objetivo que está a cargo de la Secretaría Distrital de Ambiente, Unidad Administrativa Especial de Servicios Públicos, Secretaría de Educación del Distrito, Secretaría Distrital de Salud, Secretaría Distrital de Gobierno, SPCA y Operadores de aseo. </w:t>
      </w:r>
    </w:p>
    <w:p w:rsidR="008A790F" w:rsidRDefault="008A790F">
      <w:pPr>
        <w:jc w:val="both"/>
        <w:rPr>
          <w:sz w:val="22"/>
          <w:szCs w:val="22"/>
        </w:rPr>
      </w:pPr>
    </w:p>
    <w:p w:rsidR="008A790F" w:rsidRDefault="00272DD2">
      <w:pPr>
        <w:numPr>
          <w:ilvl w:val="0"/>
          <w:numId w:val="1"/>
        </w:numPr>
        <w:jc w:val="both"/>
        <w:rPr>
          <w:sz w:val="22"/>
          <w:szCs w:val="22"/>
        </w:rPr>
      </w:pPr>
      <w:r>
        <w:rPr>
          <w:sz w:val="22"/>
          <w:szCs w:val="22"/>
        </w:rPr>
        <w:t xml:space="preserve">La aplicación efectiva de sanciones contenidas en la ley en el marco de la gestión integral de residuos sólidos, donde se dice que se adelantarán mesas de trabajo con las entidades competentes para la imposición de medidas sancionatorias por manejo inadecuado de residuos. Estas sanciones estarán a cargo de la Secretaría Distrital de Ambiente, Secretaría Distrital de Gobierno, </w:t>
      </w:r>
      <w:proofErr w:type="spellStart"/>
      <w:r>
        <w:rPr>
          <w:sz w:val="22"/>
          <w:szCs w:val="22"/>
        </w:rPr>
        <w:t>SDGSeg</w:t>
      </w:r>
      <w:proofErr w:type="spellEnd"/>
      <w:r>
        <w:rPr>
          <w:sz w:val="22"/>
          <w:szCs w:val="22"/>
        </w:rPr>
        <w:t xml:space="preserve">, Unidad Administrativa Especial de Servicios Públicos, Alcaldías Locales y Policía. </w:t>
      </w:r>
    </w:p>
    <w:p w:rsidR="008A790F" w:rsidRDefault="008A790F">
      <w:pPr>
        <w:jc w:val="both"/>
        <w:rPr>
          <w:sz w:val="22"/>
          <w:szCs w:val="22"/>
        </w:rPr>
      </w:pPr>
    </w:p>
    <w:p w:rsidR="008A790F" w:rsidRDefault="00272DD2">
      <w:pPr>
        <w:jc w:val="both"/>
        <w:rPr>
          <w:sz w:val="22"/>
          <w:szCs w:val="22"/>
        </w:rPr>
      </w:pPr>
      <w:r>
        <w:rPr>
          <w:sz w:val="22"/>
          <w:szCs w:val="22"/>
        </w:rPr>
        <w:t>Es así que, de acuerdo con los objetivos establecidos en el PGIRS y las disposiciones dadas en el artículo 103 del Acuerdo 257 de 2006, le corresponde a la Secretaría Distrital de Ambiente dictar las medidas de corrección o mitigación de daños ambientales y complementar la acción de la Empresa de Acueducto y Alcantarillado de Bogotá - EAAB- para desarrollar proyectos de saneamiento y descontaminación, en coordinación con la Unidad Administrativa Especial de Servicios Públicos - UAESP. También le corresponde a la SDA, la elaboración y diseño de políticas referidas al manejo integral de residuos sólidos en el marco de la Ley 99 de 1993, la cual otorga a las autoridades ambientales distritales, la competencia para regular y controlar las actividades que afectan el medio ambiente en su jurisdicción.</w:t>
      </w:r>
    </w:p>
    <w:p w:rsidR="008A790F" w:rsidRDefault="008A790F">
      <w:pPr>
        <w:jc w:val="both"/>
        <w:rPr>
          <w:sz w:val="22"/>
          <w:szCs w:val="22"/>
        </w:rPr>
      </w:pPr>
    </w:p>
    <w:p w:rsidR="008A790F" w:rsidRDefault="00272DD2">
      <w:pPr>
        <w:jc w:val="both"/>
        <w:rPr>
          <w:sz w:val="22"/>
          <w:szCs w:val="22"/>
        </w:rPr>
      </w:pPr>
      <w:r>
        <w:rPr>
          <w:sz w:val="22"/>
          <w:szCs w:val="22"/>
        </w:rPr>
        <w:t xml:space="preserve">De igual forma, la Ley 1333 de 2009 estipula que el Estado ejercerá la potestad sancionatoria en materia ambiental a través del Ministerio de Ambiente y las entidades adscritas a este, potestad que será ejercida en acompañamiento de la Policía, teniendo en cuenta que esta es la autoridad competente para hacer cumplir el Código Nacional de Seguridad y Convivencia Ciudadana, el cual establece sanciones por los comportamientos relacionados con la salud pública, contemplando multas para quienes no separen en la fuente los residuos sólidos. </w:t>
      </w:r>
    </w:p>
    <w:p w:rsidR="008A790F" w:rsidRDefault="008A790F">
      <w:pPr>
        <w:jc w:val="both"/>
        <w:rPr>
          <w:sz w:val="22"/>
          <w:szCs w:val="22"/>
        </w:rPr>
      </w:pPr>
    </w:p>
    <w:p w:rsidR="008A790F" w:rsidRDefault="00272DD2">
      <w:pPr>
        <w:jc w:val="both"/>
        <w:rPr>
          <w:sz w:val="22"/>
          <w:szCs w:val="22"/>
        </w:rPr>
      </w:pPr>
      <w:r>
        <w:rPr>
          <w:sz w:val="22"/>
          <w:szCs w:val="22"/>
        </w:rPr>
        <w:lastRenderedPageBreak/>
        <w:t xml:space="preserve">Ahora, teniendo en cuenta que en Bogotá ya existe normativa que incluye un reglamento técnico sectorial para la gestión de residuos sólidos de Construcción y Demolición - RCD (Resolución No. 1257 de 2021); Aparatos Eléctricos y Electrónicos - RAEE (Resolución No. 0851 de 2022); Residuos Hospitalarios y Similares (Decreto 351 de 2014); y Desechos Peligrosos (Decreto 4741 de 2005), se hace pertinente extender las estrategias y lineamientos pedagógicos, publicitarios y de incentivos para los establecimientos de comercio que generan este tipo de residuos sólidos. Sin embargo, se requiere dar especial atención y acompañamiento técnico a la debida implementación de la Resolución No. 2184 de 2019, mediante la cual empezó a regir en el 2021 el código de colores para la separación de residuos en la </w:t>
      </w:r>
      <w:proofErr w:type="gramStart"/>
      <w:r>
        <w:rPr>
          <w:sz w:val="22"/>
          <w:szCs w:val="22"/>
        </w:rPr>
        <w:t>fuente  y</w:t>
      </w:r>
      <w:proofErr w:type="gramEnd"/>
      <w:r>
        <w:rPr>
          <w:sz w:val="22"/>
          <w:szCs w:val="22"/>
        </w:rPr>
        <w:t xml:space="preserve"> que busca darle una debida gestión a los residuos aprovechables por medio de la siguiente clasificación: </w:t>
      </w:r>
    </w:p>
    <w:p w:rsidR="008A790F" w:rsidRDefault="008A790F">
      <w:pPr>
        <w:jc w:val="both"/>
        <w:rPr>
          <w:sz w:val="22"/>
          <w:szCs w:val="22"/>
        </w:rPr>
      </w:pPr>
    </w:p>
    <w:p w:rsidR="008A790F" w:rsidRDefault="00272DD2">
      <w:pPr>
        <w:numPr>
          <w:ilvl w:val="0"/>
          <w:numId w:val="4"/>
        </w:numPr>
        <w:jc w:val="both"/>
        <w:rPr>
          <w:sz w:val="22"/>
          <w:szCs w:val="22"/>
        </w:rPr>
      </w:pPr>
      <w:r>
        <w:rPr>
          <w:sz w:val="22"/>
          <w:szCs w:val="22"/>
        </w:rPr>
        <w:t>Color verde para depositar residuos orgánicos aprovechables.</w:t>
      </w:r>
    </w:p>
    <w:p w:rsidR="008A790F" w:rsidRDefault="00272DD2">
      <w:pPr>
        <w:numPr>
          <w:ilvl w:val="0"/>
          <w:numId w:val="4"/>
        </w:numPr>
        <w:jc w:val="both"/>
        <w:rPr>
          <w:sz w:val="22"/>
          <w:szCs w:val="22"/>
        </w:rPr>
      </w:pPr>
      <w:r>
        <w:rPr>
          <w:sz w:val="22"/>
          <w:szCs w:val="22"/>
        </w:rPr>
        <w:t>Color blanco para depositar los residuos aprovechables como plástico, vidrio, metales, multicapa, papel y cartón.</w:t>
      </w:r>
    </w:p>
    <w:p w:rsidR="008A790F" w:rsidRDefault="00272DD2">
      <w:pPr>
        <w:numPr>
          <w:ilvl w:val="0"/>
          <w:numId w:val="4"/>
        </w:numPr>
        <w:jc w:val="both"/>
        <w:rPr>
          <w:sz w:val="22"/>
          <w:szCs w:val="22"/>
        </w:rPr>
      </w:pPr>
      <w:r>
        <w:rPr>
          <w:sz w:val="22"/>
          <w:szCs w:val="22"/>
        </w:rPr>
        <w:t>Color negro para depositar los residuos no aprovechables.</w:t>
      </w:r>
    </w:p>
    <w:p w:rsidR="008A790F" w:rsidRDefault="008A790F">
      <w:pPr>
        <w:jc w:val="both"/>
        <w:rPr>
          <w:sz w:val="22"/>
          <w:szCs w:val="22"/>
        </w:rPr>
      </w:pPr>
    </w:p>
    <w:p w:rsidR="008A790F" w:rsidRDefault="00272DD2">
      <w:pPr>
        <w:jc w:val="both"/>
        <w:rPr>
          <w:i/>
          <w:sz w:val="22"/>
          <w:szCs w:val="22"/>
        </w:rPr>
      </w:pPr>
      <w:r>
        <w:rPr>
          <w:sz w:val="22"/>
          <w:szCs w:val="22"/>
        </w:rPr>
        <w:t xml:space="preserve">Según el Ministerio de Ambiente, este código de colores deberá ser adoptado por los municipios o distritos que adelanten programas de aprovechamiento conforme a sus Planes de Gestión Integral de Residuos Sólidos (PGIRS), donde el PGRIS de la ciudad de Bogotá D.C., establece que </w:t>
      </w:r>
      <w:r>
        <w:rPr>
          <w:i/>
          <w:sz w:val="22"/>
          <w:szCs w:val="22"/>
        </w:rPr>
        <w:t xml:space="preserve">“(...)los usuarios del servicio público de aseo deberán presentar sus residuos de manera separada como lo determina la mencionada Resolución No. 2184 de 2019, y que en el caso de que el usuario pertenezca a una ruta </w:t>
      </w:r>
      <w:proofErr w:type="spellStart"/>
      <w:r>
        <w:rPr>
          <w:i/>
          <w:sz w:val="22"/>
          <w:szCs w:val="22"/>
        </w:rPr>
        <w:t>contenerizada</w:t>
      </w:r>
      <w:proofErr w:type="spellEnd"/>
      <w:r>
        <w:rPr>
          <w:i/>
          <w:sz w:val="22"/>
          <w:szCs w:val="22"/>
        </w:rPr>
        <w:t>, este deberá trasladar los residuos hasta el contenedor correspondiente en las frecuencias y horarios establecidos por el prestador del servicio y cumplir con las normas establecidas para su correcto funcionamiento incluyendo la separación adecuada de los residuos (aprovechables y no aprovechables) para disponer en el contenedor que corresponda, de manera que se garantice el acceso al material aprovechable debidamente separado por los usuarios a los recicladores de oficio(...)”.</w:t>
      </w:r>
    </w:p>
    <w:p w:rsidR="008A790F" w:rsidRDefault="008A790F">
      <w:pPr>
        <w:jc w:val="both"/>
        <w:rPr>
          <w:i/>
          <w:sz w:val="22"/>
          <w:szCs w:val="22"/>
        </w:rPr>
      </w:pPr>
    </w:p>
    <w:p w:rsidR="008A790F" w:rsidRDefault="00272DD2">
      <w:pPr>
        <w:jc w:val="both"/>
        <w:rPr>
          <w:sz w:val="22"/>
          <w:szCs w:val="22"/>
        </w:rPr>
      </w:pPr>
      <w:r>
        <w:rPr>
          <w:sz w:val="22"/>
          <w:szCs w:val="22"/>
        </w:rPr>
        <w:t>Igualmente, la norma técnica colombiana GTC 2009, ofrece una guía para la separación en la fuente de los residuos y establece que esta es una actividad a realizar por el generador de residuos para facilitar su posterior transporte y aprovechamiento, lo cual garantiza la calidad de los residuos aprovechables, donde se sugiere un código de colores que permita la clasificación de basuras en pro de facilitar la labor de identificación de los materiales residuales tal y como se describe en la siguiente tabla:</w:t>
      </w:r>
    </w:p>
    <w:p w:rsidR="008A790F" w:rsidRDefault="008A790F">
      <w:pPr>
        <w:jc w:val="both"/>
        <w:rPr>
          <w:sz w:val="22"/>
          <w:szCs w:val="22"/>
        </w:rPr>
      </w:pPr>
    </w:p>
    <w:p w:rsidR="008A790F" w:rsidRDefault="008A790F">
      <w:pPr>
        <w:jc w:val="both"/>
        <w:rPr>
          <w:sz w:val="22"/>
          <w:szCs w:val="22"/>
        </w:rPr>
      </w:pPr>
    </w:p>
    <w:p w:rsidR="008A790F" w:rsidRDefault="00272DD2">
      <w:pPr>
        <w:jc w:val="both"/>
        <w:rPr>
          <w:sz w:val="22"/>
          <w:szCs w:val="22"/>
        </w:rPr>
      </w:pPr>
      <w:r>
        <w:rPr>
          <w:noProof/>
          <w:sz w:val="22"/>
          <w:szCs w:val="22"/>
          <w:lang w:val="es-CO"/>
        </w:rPr>
        <w:lastRenderedPageBreak/>
        <w:drawing>
          <wp:inline distT="114300" distB="114300" distL="114300" distR="114300">
            <wp:extent cx="5612130" cy="4076700"/>
            <wp:effectExtent l="0" t="0" r="0" b="0"/>
            <wp:docPr id="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5612130" cy="4076700"/>
                    </a:xfrm>
                    <a:prstGeom prst="rect">
                      <a:avLst/>
                    </a:prstGeom>
                    <a:ln/>
                  </pic:spPr>
                </pic:pic>
              </a:graphicData>
            </a:graphic>
          </wp:inline>
        </w:drawing>
      </w:r>
    </w:p>
    <w:p w:rsidR="008A790F" w:rsidRDefault="00272DD2">
      <w:pPr>
        <w:jc w:val="center"/>
        <w:rPr>
          <w:sz w:val="18"/>
          <w:szCs w:val="18"/>
        </w:rPr>
      </w:pPr>
      <w:r>
        <w:rPr>
          <w:sz w:val="18"/>
          <w:szCs w:val="18"/>
        </w:rPr>
        <w:t>Fuente: Norma Técnica Colombiana GTC 24 (2009)</w:t>
      </w:r>
    </w:p>
    <w:p w:rsidR="008A790F" w:rsidRDefault="008A790F">
      <w:pPr>
        <w:jc w:val="center"/>
        <w:rPr>
          <w:sz w:val="18"/>
          <w:szCs w:val="18"/>
        </w:rPr>
      </w:pPr>
    </w:p>
    <w:p w:rsidR="008A790F" w:rsidRDefault="008A790F">
      <w:pPr>
        <w:jc w:val="both"/>
        <w:rPr>
          <w:sz w:val="22"/>
          <w:szCs w:val="22"/>
        </w:rPr>
      </w:pPr>
    </w:p>
    <w:p w:rsidR="008A790F" w:rsidRDefault="00272DD2">
      <w:pPr>
        <w:jc w:val="both"/>
        <w:rPr>
          <w:sz w:val="22"/>
          <w:szCs w:val="22"/>
        </w:rPr>
      </w:pPr>
      <w:r>
        <w:rPr>
          <w:sz w:val="22"/>
          <w:szCs w:val="22"/>
        </w:rPr>
        <w:t xml:space="preserve">Es entonces pertinente que se articulen las herramientas técnicas y normativas existentes, junto con los instrumentos de planeación institucional que permitan la formulación, implementación y seguimiento de acciones y nuevos lineamientos para controlar la contaminación en la ciudad a través del seguimiento de residuos desde la fuente y no en los sitios de disposición final que es donde normalmente se centra la atención. </w:t>
      </w:r>
    </w:p>
    <w:p w:rsidR="008A790F" w:rsidRDefault="008A790F">
      <w:pPr>
        <w:jc w:val="both"/>
        <w:rPr>
          <w:sz w:val="22"/>
          <w:szCs w:val="22"/>
        </w:rPr>
      </w:pPr>
    </w:p>
    <w:p w:rsidR="008A790F" w:rsidRDefault="00272DD2">
      <w:pPr>
        <w:jc w:val="both"/>
        <w:rPr>
          <w:sz w:val="22"/>
          <w:szCs w:val="22"/>
        </w:rPr>
      </w:pPr>
      <w:proofErr w:type="gramStart"/>
      <w:r>
        <w:rPr>
          <w:sz w:val="22"/>
          <w:szCs w:val="22"/>
        </w:rPr>
        <w:t>De  esta</w:t>
      </w:r>
      <w:proofErr w:type="gramEnd"/>
      <w:r>
        <w:rPr>
          <w:sz w:val="22"/>
          <w:szCs w:val="22"/>
        </w:rPr>
        <w:t xml:space="preserve"> forma, esta iniciativa pretende minimizar los residuos sólidos enviados al Relleno Sanitario Doña Juana y que son generados en su mayoría por establecimientos de comercio; procurando así el cuidado del medio ambiente y la salud pública. Esto, como se ha venido explicando, implica que la Secretaría Distrital de Ambiente en el marco de sus competencias, provea lineamientos para la implementación y operación de contenedores, rutas selectivas, desarrollo de </w:t>
      </w:r>
      <w:proofErr w:type="spellStart"/>
      <w:r>
        <w:rPr>
          <w:sz w:val="22"/>
          <w:szCs w:val="22"/>
        </w:rPr>
        <w:t>pedagogia</w:t>
      </w:r>
      <w:proofErr w:type="spellEnd"/>
      <w:r>
        <w:rPr>
          <w:sz w:val="22"/>
          <w:szCs w:val="22"/>
        </w:rPr>
        <w:t xml:space="preserve"> diferenciada para los distintos generadores de residuos, fomento de incentivos y proporción de asesoría técnica en la concertación y seguimiento de los objetivos planteados en el PGIRS desde la gestión integral de residuos sólidos y las prácticas de sostenibilidad alrededor que permitan mejorar las condiciones ambientales en el Distrito y maximizar los procesos de aprovechamiento que involucre a la Administración Distrital, la ciudadanía y el sector productivo. </w:t>
      </w:r>
    </w:p>
    <w:p w:rsidR="008A790F" w:rsidRDefault="008A790F">
      <w:pPr>
        <w:jc w:val="both"/>
        <w:rPr>
          <w:sz w:val="22"/>
          <w:szCs w:val="22"/>
          <w:highlight w:val="white"/>
        </w:rPr>
      </w:pPr>
    </w:p>
    <w:p w:rsidR="008A790F" w:rsidRDefault="00272DD2">
      <w:pPr>
        <w:jc w:val="both"/>
        <w:rPr>
          <w:sz w:val="22"/>
          <w:szCs w:val="22"/>
        </w:rPr>
      </w:pPr>
      <w:r>
        <w:rPr>
          <w:sz w:val="22"/>
          <w:szCs w:val="22"/>
        </w:rPr>
        <w:lastRenderedPageBreak/>
        <w:t xml:space="preserve">Finalmente, el presente Acuerdo se alinea con: </w:t>
      </w:r>
    </w:p>
    <w:p w:rsidR="008A790F" w:rsidRDefault="008A790F">
      <w:pPr>
        <w:jc w:val="both"/>
        <w:rPr>
          <w:sz w:val="22"/>
          <w:szCs w:val="22"/>
        </w:rPr>
      </w:pPr>
    </w:p>
    <w:p w:rsidR="001974E6" w:rsidRDefault="00272DD2">
      <w:pPr>
        <w:numPr>
          <w:ilvl w:val="0"/>
          <w:numId w:val="2"/>
        </w:numPr>
        <w:jc w:val="both"/>
        <w:rPr>
          <w:sz w:val="22"/>
          <w:szCs w:val="22"/>
        </w:rPr>
      </w:pPr>
      <w:r>
        <w:rPr>
          <w:sz w:val="22"/>
          <w:szCs w:val="22"/>
        </w:rPr>
        <w:t>CONPES 3874, el cual es el instrumento de “</w:t>
      </w:r>
      <w:r>
        <w:rPr>
          <w:i/>
          <w:sz w:val="22"/>
          <w:szCs w:val="22"/>
        </w:rPr>
        <w:t xml:space="preserve">Política Nacional para la Gestión Integral de Residuos Sólidos”, </w:t>
      </w:r>
      <w:r>
        <w:rPr>
          <w:sz w:val="22"/>
          <w:szCs w:val="22"/>
        </w:rPr>
        <w:t xml:space="preserve">que busca adoptar medidas que vayan en pro del desarrollo sostenible y la mitigación del cambio climático a través de la gestión de los residuos sólidos no peligrosos con la promoción de la cultura ciudadana, la educación e innovación en gestión integral de residuos y así prevenir la generación de estos, promover la reutilización e incrementar los niveles de separación en la fuente y de aprovechamiento. </w:t>
      </w:r>
    </w:p>
    <w:p w:rsidR="008A790F" w:rsidRDefault="008A790F" w:rsidP="001974E6">
      <w:pPr>
        <w:ind w:left="720"/>
        <w:jc w:val="both"/>
        <w:rPr>
          <w:sz w:val="22"/>
          <w:szCs w:val="22"/>
        </w:rPr>
      </w:pPr>
    </w:p>
    <w:p w:rsidR="008A790F" w:rsidRDefault="00272DD2">
      <w:pPr>
        <w:numPr>
          <w:ilvl w:val="0"/>
          <w:numId w:val="2"/>
        </w:numPr>
        <w:jc w:val="both"/>
        <w:rPr>
          <w:sz w:val="22"/>
          <w:szCs w:val="22"/>
        </w:rPr>
      </w:pPr>
      <w:r>
        <w:rPr>
          <w:sz w:val="22"/>
          <w:szCs w:val="22"/>
        </w:rPr>
        <w:t xml:space="preserve">Plan Distrital de Desarrollo 2024-2027, el cual aborda de manera integral los desafíos del cambio climático con acciones de mitigación, en donde respecto a la gestión integral de residuos sólidos, se establece que el Distrito Capital aumente los porcentajes de aprovechamiento y tratamiento de residuos, reduciendo así el transporte improductivo de largo trayecto, el enterramiento en Doña Juana, contribuyendo a preservar la naturaleza y reducir las emisiones de efecto invernadero, por lo que se propone </w:t>
      </w:r>
      <w:r>
        <w:rPr>
          <w:i/>
          <w:sz w:val="22"/>
          <w:szCs w:val="22"/>
        </w:rPr>
        <w:t>“(...)consolidación de una mesa permanente distrital de reciclaje, en la cual se involucren otros actores sociales relacionados e interesados con la cadena de valor del reciclaje, así como su participación en la formulación del Plan de Gestión Integral de Residuos Sólidos [PGIRS]. El nuevo modelo también incluirá infraestructura de tratamiento y valorización, especialmente de orgánicos, y la mejora sustancial de la operación de disposición final en tecnología de relleno sanitario, contribuyendo así a preservar la naturaleza y reducir las emisiones de gases efecto invernadero.”</w:t>
      </w:r>
    </w:p>
    <w:p w:rsidR="008A790F" w:rsidRDefault="008A790F">
      <w:pPr>
        <w:jc w:val="both"/>
        <w:rPr>
          <w:i/>
          <w:sz w:val="22"/>
          <w:szCs w:val="22"/>
        </w:rPr>
      </w:pPr>
    </w:p>
    <w:p w:rsidR="008A790F" w:rsidRDefault="008A790F">
      <w:pPr>
        <w:jc w:val="both"/>
        <w:rPr>
          <w:b/>
          <w:sz w:val="22"/>
          <w:szCs w:val="22"/>
        </w:rPr>
      </w:pPr>
    </w:p>
    <w:p w:rsidR="008A790F" w:rsidRDefault="00272DD2">
      <w:pPr>
        <w:jc w:val="both"/>
        <w:rPr>
          <w:b/>
          <w:sz w:val="22"/>
          <w:szCs w:val="22"/>
        </w:rPr>
      </w:pPr>
      <w:r>
        <w:rPr>
          <w:b/>
          <w:sz w:val="22"/>
          <w:szCs w:val="22"/>
        </w:rPr>
        <w:t xml:space="preserve">4.- MARCO LEGAL </w:t>
      </w:r>
    </w:p>
    <w:p w:rsidR="008A790F" w:rsidRDefault="008A790F">
      <w:pPr>
        <w:jc w:val="both"/>
        <w:rPr>
          <w:b/>
          <w:sz w:val="22"/>
          <w:szCs w:val="22"/>
        </w:rPr>
      </w:pPr>
    </w:p>
    <w:p w:rsidR="008A790F" w:rsidRDefault="00272DD2">
      <w:pPr>
        <w:jc w:val="both"/>
        <w:rPr>
          <w:b/>
          <w:sz w:val="22"/>
          <w:szCs w:val="22"/>
        </w:rPr>
      </w:pPr>
      <w:r>
        <w:rPr>
          <w:b/>
          <w:sz w:val="22"/>
          <w:szCs w:val="22"/>
        </w:rPr>
        <w:t xml:space="preserve">MARCO INTERNACIONAL </w:t>
      </w:r>
    </w:p>
    <w:p w:rsidR="008A790F" w:rsidRDefault="008A790F">
      <w:pPr>
        <w:jc w:val="both"/>
        <w:rPr>
          <w:b/>
          <w:sz w:val="22"/>
          <w:szCs w:val="22"/>
        </w:rPr>
      </w:pPr>
    </w:p>
    <w:p w:rsidR="008A790F" w:rsidRDefault="00272DD2">
      <w:pPr>
        <w:jc w:val="both"/>
        <w:rPr>
          <w:sz w:val="22"/>
          <w:szCs w:val="22"/>
        </w:rPr>
      </w:pPr>
      <w:r>
        <w:rPr>
          <w:b/>
          <w:sz w:val="22"/>
          <w:szCs w:val="22"/>
        </w:rPr>
        <w:t>ISO 14001</w:t>
      </w:r>
      <w:r>
        <w:rPr>
          <w:sz w:val="22"/>
          <w:szCs w:val="22"/>
        </w:rPr>
        <w:t xml:space="preserve"> </w:t>
      </w:r>
    </w:p>
    <w:p w:rsidR="008A790F" w:rsidRDefault="00272DD2">
      <w:pPr>
        <w:jc w:val="both"/>
        <w:rPr>
          <w:sz w:val="22"/>
          <w:szCs w:val="22"/>
        </w:rPr>
      </w:pPr>
      <w:r>
        <w:rPr>
          <w:sz w:val="22"/>
          <w:szCs w:val="22"/>
        </w:rPr>
        <w:t xml:space="preserve">Versa sobre el sistema de gestión ambiental, que permite a una empresa identificar y gestionar los riesgos ambientales, planteando opciones de cuidado al medio ambiente como: </w:t>
      </w:r>
    </w:p>
    <w:p w:rsidR="008A790F" w:rsidRDefault="00272DD2">
      <w:pPr>
        <w:numPr>
          <w:ilvl w:val="0"/>
          <w:numId w:val="5"/>
        </w:numPr>
        <w:jc w:val="both"/>
        <w:rPr>
          <w:sz w:val="22"/>
          <w:szCs w:val="22"/>
        </w:rPr>
      </w:pPr>
      <w:r>
        <w:rPr>
          <w:sz w:val="22"/>
          <w:szCs w:val="22"/>
        </w:rPr>
        <w:t>Protección del medio ambiente utilizando la prevención.</w:t>
      </w:r>
    </w:p>
    <w:p w:rsidR="008A790F" w:rsidRDefault="00272DD2">
      <w:pPr>
        <w:numPr>
          <w:ilvl w:val="0"/>
          <w:numId w:val="5"/>
        </w:numPr>
        <w:jc w:val="both"/>
        <w:rPr>
          <w:sz w:val="22"/>
          <w:szCs w:val="22"/>
        </w:rPr>
      </w:pPr>
      <w:r>
        <w:rPr>
          <w:sz w:val="22"/>
          <w:szCs w:val="22"/>
        </w:rPr>
        <w:t>Mitigación de los impactos ambientales.</w:t>
      </w:r>
    </w:p>
    <w:p w:rsidR="008A790F" w:rsidRDefault="00272DD2">
      <w:pPr>
        <w:numPr>
          <w:ilvl w:val="0"/>
          <w:numId w:val="5"/>
        </w:numPr>
        <w:jc w:val="both"/>
        <w:rPr>
          <w:sz w:val="22"/>
          <w:szCs w:val="22"/>
        </w:rPr>
      </w:pPr>
      <w:r>
        <w:rPr>
          <w:sz w:val="22"/>
          <w:szCs w:val="22"/>
        </w:rPr>
        <w:t xml:space="preserve">Mitigar los efectos secundarios según las condiciones ambientales de </w:t>
      </w:r>
      <w:proofErr w:type="gramStart"/>
      <w:r>
        <w:rPr>
          <w:sz w:val="22"/>
          <w:szCs w:val="22"/>
        </w:rPr>
        <w:t>la  empresa</w:t>
      </w:r>
      <w:proofErr w:type="gramEnd"/>
      <w:r>
        <w:rPr>
          <w:sz w:val="22"/>
          <w:szCs w:val="22"/>
        </w:rPr>
        <w:t>.</w:t>
      </w:r>
    </w:p>
    <w:p w:rsidR="008A790F" w:rsidRDefault="00272DD2">
      <w:pPr>
        <w:numPr>
          <w:ilvl w:val="0"/>
          <w:numId w:val="5"/>
        </w:numPr>
        <w:jc w:val="both"/>
        <w:rPr>
          <w:sz w:val="22"/>
          <w:szCs w:val="22"/>
        </w:rPr>
      </w:pPr>
      <w:r>
        <w:rPr>
          <w:sz w:val="22"/>
          <w:szCs w:val="22"/>
        </w:rPr>
        <w:t>Fomenta prácticas que incluyen la reducción, la reutilización y el reciclaje de residuos como parte de un enfoque integral de gestión ambiental.</w:t>
      </w:r>
    </w:p>
    <w:p w:rsidR="008A790F" w:rsidRDefault="008A790F">
      <w:pPr>
        <w:jc w:val="both"/>
        <w:rPr>
          <w:sz w:val="22"/>
          <w:szCs w:val="22"/>
        </w:rPr>
      </w:pPr>
    </w:p>
    <w:p w:rsidR="008A790F" w:rsidRDefault="00272DD2">
      <w:pPr>
        <w:jc w:val="both"/>
        <w:rPr>
          <w:b/>
          <w:sz w:val="22"/>
          <w:szCs w:val="22"/>
        </w:rPr>
      </w:pPr>
      <w:r>
        <w:rPr>
          <w:b/>
          <w:sz w:val="22"/>
          <w:szCs w:val="22"/>
        </w:rPr>
        <w:t>ODS 12</w:t>
      </w:r>
    </w:p>
    <w:p w:rsidR="001974E6" w:rsidRDefault="00272DD2">
      <w:pPr>
        <w:jc w:val="both"/>
        <w:rPr>
          <w:b/>
          <w:i/>
          <w:sz w:val="22"/>
          <w:szCs w:val="22"/>
        </w:rPr>
      </w:pPr>
      <w:r>
        <w:rPr>
          <w:b/>
          <w:i/>
          <w:sz w:val="22"/>
          <w:szCs w:val="22"/>
        </w:rPr>
        <w:t xml:space="preserve">"Producción y consumo responsables" </w:t>
      </w:r>
    </w:p>
    <w:p w:rsidR="008A790F" w:rsidRPr="001974E6" w:rsidRDefault="00272DD2">
      <w:pPr>
        <w:jc w:val="both"/>
        <w:rPr>
          <w:b/>
          <w:i/>
          <w:sz w:val="22"/>
          <w:szCs w:val="22"/>
        </w:rPr>
      </w:pPr>
      <w:r>
        <w:rPr>
          <w:sz w:val="22"/>
          <w:szCs w:val="22"/>
        </w:rPr>
        <w:t xml:space="preserve">En su Meta 12.5, busca </w:t>
      </w:r>
      <w:r>
        <w:rPr>
          <w:i/>
          <w:sz w:val="22"/>
          <w:szCs w:val="22"/>
        </w:rPr>
        <w:t xml:space="preserve">"reducir considerablemente la generación de desechos a través de la prevención, reducción, reciclaje y reutilización para el año 2030", </w:t>
      </w:r>
      <w:r>
        <w:rPr>
          <w:sz w:val="22"/>
          <w:szCs w:val="22"/>
        </w:rPr>
        <w:t xml:space="preserve">donde promueve acciones que incluye la implementación de sistemas de clasificación en origen como parte </w:t>
      </w:r>
      <w:r>
        <w:rPr>
          <w:sz w:val="22"/>
          <w:szCs w:val="22"/>
        </w:rPr>
        <w:lastRenderedPageBreak/>
        <w:t>de las estrategias para alcanzar los objetivos de reducción y gestión responsable de los residuos.</w:t>
      </w:r>
    </w:p>
    <w:p w:rsidR="008A790F" w:rsidRDefault="008A790F">
      <w:pPr>
        <w:jc w:val="both"/>
        <w:rPr>
          <w:sz w:val="22"/>
          <w:szCs w:val="22"/>
        </w:rPr>
      </w:pPr>
    </w:p>
    <w:p w:rsidR="008A790F" w:rsidRDefault="008A790F">
      <w:pPr>
        <w:jc w:val="both"/>
        <w:rPr>
          <w:sz w:val="22"/>
          <w:szCs w:val="22"/>
        </w:rPr>
      </w:pPr>
    </w:p>
    <w:p w:rsidR="008A790F" w:rsidRDefault="00272DD2">
      <w:pPr>
        <w:jc w:val="both"/>
        <w:rPr>
          <w:b/>
          <w:sz w:val="22"/>
          <w:szCs w:val="22"/>
        </w:rPr>
      </w:pPr>
      <w:r>
        <w:rPr>
          <w:b/>
          <w:sz w:val="22"/>
          <w:szCs w:val="22"/>
        </w:rPr>
        <w:t xml:space="preserve">MARCO NACIONAL </w:t>
      </w:r>
    </w:p>
    <w:p w:rsidR="008A790F" w:rsidRDefault="008A790F">
      <w:pPr>
        <w:jc w:val="both"/>
        <w:rPr>
          <w:b/>
          <w:sz w:val="22"/>
          <w:szCs w:val="22"/>
        </w:rPr>
      </w:pPr>
    </w:p>
    <w:p w:rsidR="008A790F" w:rsidRDefault="00272DD2">
      <w:pPr>
        <w:jc w:val="both"/>
        <w:rPr>
          <w:b/>
          <w:sz w:val="22"/>
          <w:szCs w:val="22"/>
        </w:rPr>
      </w:pPr>
      <w:r>
        <w:rPr>
          <w:b/>
          <w:sz w:val="22"/>
          <w:szCs w:val="22"/>
        </w:rPr>
        <w:t>CONSTITUCIÓN POLÍTICA:</w:t>
      </w:r>
    </w:p>
    <w:p w:rsidR="008A790F" w:rsidRDefault="008A790F">
      <w:pPr>
        <w:ind w:left="360"/>
        <w:jc w:val="both"/>
        <w:rPr>
          <w:b/>
          <w:sz w:val="22"/>
          <w:szCs w:val="22"/>
        </w:rPr>
      </w:pPr>
    </w:p>
    <w:p w:rsidR="008A790F" w:rsidRDefault="00272DD2">
      <w:pPr>
        <w:jc w:val="both"/>
        <w:rPr>
          <w:i/>
          <w:sz w:val="22"/>
          <w:szCs w:val="22"/>
        </w:rPr>
      </w:pPr>
      <w:r>
        <w:rPr>
          <w:b/>
          <w:sz w:val="22"/>
          <w:szCs w:val="22"/>
        </w:rPr>
        <w:t>Artículo 79. “</w:t>
      </w:r>
      <w:r>
        <w:rPr>
          <w:i/>
          <w:sz w:val="22"/>
          <w:szCs w:val="22"/>
        </w:rPr>
        <w:t>Todas las personas tienen derecho a gozar de un ambiente sano.</w:t>
      </w:r>
    </w:p>
    <w:p w:rsidR="008A790F" w:rsidRDefault="00272DD2">
      <w:pPr>
        <w:jc w:val="both"/>
        <w:rPr>
          <w:b/>
          <w:sz w:val="22"/>
          <w:szCs w:val="22"/>
        </w:rPr>
      </w:pPr>
      <w:r>
        <w:rPr>
          <w:i/>
          <w:sz w:val="22"/>
          <w:szCs w:val="22"/>
        </w:rPr>
        <w:t>Es deber del Estado proteger la diversidad e integridad del ambiente, conservar las áreas de especial importancia ecológica y fomentar la educación para el logro de estos fines.”</w:t>
      </w:r>
      <w:r>
        <w:rPr>
          <w:b/>
          <w:sz w:val="22"/>
          <w:szCs w:val="22"/>
        </w:rPr>
        <w:t xml:space="preserve"> </w:t>
      </w:r>
    </w:p>
    <w:p w:rsidR="008A790F" w:rsidRDefault="008A790F">
      <w:pPr>
        <w:jc w:val="both"/>
        <w:rPr>
          <w:b/>
          <w:sz w:val="22"/>
          <w:szCs w:val="22"/>
        </w:rPr>
      </w:pPr>
    </w:p>
    <w:p w:rsidR="008A790F" w:rsidRDefault="00272DD2">
      <w:pPr>
        <w:jc w:val="both"/>
        <w:rPr>
          <w:i/>
          <w:sz w:val="22"/>
          <w:szCs w:val="22"/>
        </w:rPr>
      </w:pPr>
      <w:r>
        <w:rPr>
          <w:b/>
          <w:sz w:val="22"/>
          <w:szCs w:val="22"/>
        </w:rPr>
        <w:t>Artículo 95.</w:t>
      </w:r>
      <w:r w:rsidR="001974E6">
        <w:rPr>
          <w:b/>
          <w:sz w:val="22"/>
          <w:szCs w:val="22"/>
        </w:rPr>
        <w:t xml:space="preserve"> </w:t>
      </w:r>
      <w:r>
        <w:rPr>
          <w:sz w:val="22"/>
          <w:szCs w:val="22"/>
        </w:rPr>
        <w:t>“</w:t>
      </w:r>
      <w:r>
        <w:rPr>
          <w:i/>
          <w:sz w:val="22"/>
          <w:szCs w:val="22"/>
        </w:rPr>
        <w:t xml:space="preserve">El ejercicio de los derechos y libertades reconocidos a los colombianos en esta Constitución, implica responsabilidades como: </w:t>
      </w:r>
    </w:p>
    <w:p w:rsidR="008A790F" w:rsidRDefault="00272DD2">
      <w:pPr>
        <w:jc w:val="both"/>
        <w:rPr>
          <w:i/>
          <w:sz w:val="22"/>
          <w:szCs w:val="22"/>
        </w:rPr>
      </w:pPr>
      <w:r>
        <w:rPr>
          <w:i/>
          <w:sz w:val="22"/>
          <w:szCs w:val="22"/>
        </w:rPr>
        <w:t>8. Proteger los recursos culturales y naturales del país y velar por la conservación de un ambiente sano.”</w:t>
      </w:r>
    </w:p>
    <w:p w:rsidR="008A790F" w:rsidRDefault="008A790F">
      <w:pPr>
        <w:jc w:val="both"/>
        <w:rPr>
          <w:sz w:val="22"/>
          <w:szCs w:val="22"/>
        </w:rPr>
      </w:pPr>
    </w:p>
    <w:p w:rsidR="008A790F" w:rsidRDefault="00272DD2">
      <w:pPr>
        <w:jc w:val="both"/>
        <w:rPr>
          <w:i/>
          <w:sz w:val="22"/>
          <w:szCs w:val="22"/>
        </w:rPr>
      </w:pPr>
      <w:r>
        <w:rPr>
          <w:b/>
          <w:sz w:val="22"/>
          <w:szCs w:val="22"/>
        </w:rPr>
        <w:t>Artículo 333.</w:t>
      </w:r>
      <w:r>
        <w:rPr>
          <w:sz w:val="22"/>
          <w:szCs w:val="22"/>
        </w:rPr>
        <w:t xml:space="preserve"> “</w:t>
      </w:r>
      <w:r>
        <w:rPr>
          <w:i/>
          <w:sz w:val="22"/>
          <w:szCs w:val="22"/>
        </w:rPr>
        <w:t>La actividad económica y la iniciativa privada son libres, dentro de los límites del bien común.</w:t>
      </w:r>
    </w:p>
    <w:p w:rsidR="008A790F" w:rsidRDefault="00272DD2">
      <w:pPr>
        <w:jc w:val="both"/>
        <w:rPr>
          <w:b/>
          <w:i/>
          <w:sz w:val="22"/>
          <w:szCs w:val="22"/>
        </w:rPr>
      </w:pPr>
      <w:r>
        <w:rPr>
          <w:i/>
          <w:sz w:val="22"/>
          <w:szCs w:val="22"/>
        </w:rPr>
        <w:t>La ley delimitará el alcance de la libertad económica cuando así lo exijan el interés social, el ambiente y el patrimonio cultural de la Nación.”</w:t>
      </w:r>
    </w:p>
    <w:p w:rsidR="008A790F" w:rsidRDefault="008A790F">
      <w:pPr>
        <w:shd w:val="clear" w:color="auto" w:fill="FFFFFF"/>
        <w:spacing w:before="57" w:after="28"/>
        <w:ind w:right="49"/>
        <w:jc w:val="both"/>
        <w:rPr>
          <w:sz w:val="22"/>
          <w:szCs w:val="22"/>
        </w:rPr>
      </w:pPr>
    </w:p>
    <w:p w:rsidR="008A790F" w:rsidRDefault="008A790F">
      <w:pPr>
        <w:shd w:val="clear" w:color="auto" w:fill="FFFFFF"/>
        <w:spacing w:before="57" w:after="28"/>
        <w:ind w:right="49"/>
        <w:jc w:val="both"/>
        <w:rPr>
          <w:sz w:val="22"/>
          <w:szCs w:val="22"/>
        </w:rPr>
      </w:pPr>
    </w:p>
    <w:p w:rsidR="008A790F" w:rsidRDefault="00272DD2">
      <w:pPr>
        <w:jc w:val="both"/>
        <w:rPr>
          <w:b/>
          <w:sz w:val="22"/>
          <w:szCs w:val="22"/>
        </w:rPr>
      </w:pPr>
      <w:r>
        <w:rPr>
          <w:b/>
          <w:sz w:val="22"/>
          <w:szCs w:val="22"/>
        </w:rPr>
        <w:t xml:space="preserve">LEYES: </w:t>
      </w:r>
    </w:p>
    <w:p w:rsidR="008A790F" w:rsidRDefault="008A790F">
      <w:pPr>
        <w:jc w:val="both"/>
        <w:rPr>
          <w:sz w:val="22"/>
          <w:szCs w:val="22"/>
        </w:rPr>
      </w:pPr>
    </w:p>
    <w:p w:rsidR="008A790F" w:rsidRDefault="00272DD2">
      <w:pPr>
        <w:jc w:val="both"/>
        <w:rPr>
          <w:b/>
          <w:sz w:val="22"/>
          <w:szCs w:val="22"/>
        </w:rPr>
      </w:pPr>
      <w:r>
        <w:rPr>
          <w:b/>
          <w:sz w:val="22"/>
          <w:szCs w:val="22"/>
        </w:rPr>
        <w:t>Ley 99 DE 1993</w:t>
      </w:r>
    </w:p>
    <w:p w:rsidR="008A790F" w:rsidRDefault="00272DD2">
      <w:pPr>
        <w:jc w:val="both"/>
        <w:rPr>
          <w:b/>
          <w:i/>
          <w:sz w:val="22"/>
          <w:szCs w:val="22"/>
        </w:rPr>
      </w:pPr>
      <w:r>
        <w:rPr>
          <w:b/>
          <w:i/>
          <w:sz w:val="22"/>
          <w:szCs w:val="22"/>
        </w:rPr>
        <w:t>“Por la cual se crea el Ministerio del Medio Ambiente, se reordena el Sector Público encargado de la gestión y conservación del medio ambiente y los recursos naturales renovables, se organiza el Sistema Nacional Ambiental, SINA, y se dictan otras disposiciones.”</w:t>
      </w:r>
    </w:p>
    <w:p w:rsidR="008A790F" w:rsidRDefault="008A790F">
      <w:pPr>
        <w:jc w:val="both"/>
        <w:rPr>
          <w:b/>
          <w:i/>
          <w:sz w:val="22"/>
          <w:szCs w:val="22"/>
        </w:rPr>
      </w:pPr>
    </w:p>
    <w:p w:rsidR="008A790F" w:rsidRDefault="00272DD2">
      <w:pPr>
        <w:jc w:val="both"/>
        <w:rPr>
          <w:sz w:val="22"/>
          <w:szCs w:val="22"/>
        </w:rPr>
      </w:pPr>
      <w:r>
        <w:rPr>
          <w:sz w:val="22"/>
          <w:szCs w:val="22"/>
        </w:rPr>
        <w:t>Esta ley establece las disposiciones para la gestión ambiental en Colombia y otorga a las autoridades ambientales distritales, que en el caso de Bogotá es la Secretaría Distrital de Ambiente, la competencia para regular y controlar las actividades que afectan el medio ambiente en su jurisdicción.</w:t>
      </w:r>
    </w:p>
    <w:p w:rsidR="008A790F" w:rsidRDefault="008A790F">
      <w:pPr>
        <w:jc w:val="both"/>
        <w:rPr>
          <w:b/>
          <w:i/>
          <w:sz w:val="22"/>
          <w:szCs w:val="22"/>
        </w:rPr>
      </w:pPr>
    </w:p>
    <w:p w:rsidR="008A790F" w:rsidRPr="00D52DDD" w:rsidRDefault="00272DD2">
      <w:pPr>
        <w:jc w:val="both"/>
        <w:rPr>
          <w:sz w:val="22"/>
          <w:szCs w:val="22"/>
        </w:rPr>
      </w:pPr>
      <w:r>
        <w:rPr>
          <w:b/>
          <w:sz w:val="22"/>
          <w:szCs w:val="22"/>
        </w:rPr>
        <w:t>Artículo 66. Competencia de Grandes Centros Urbanos.</w:t>
      </w:r>
      <w:r>
        <w:rPr>
          <w:sz w:val="22"/>
          <w:szCs w:val="22"/>
        </w:rPr>
        <w:t xml:space="preserve"> (...)</w:t>
      </w:r>
      <w:r w:rsidR="009B5EAD">
        <w:rPr>
          <w:sz w:val="22"/>
          <w:szCs w:val="22"/>
        </w:rPr>
        <w:t xml:space="preserve"> </w:t>
      </w:r>
      <w:r>
        <w:rPr>
          <w:i/>
          <w:sz w:val="22"/>
          <w:szCs w:val="22"/>
        </w:rPr>
        <w:t xml:space="preserve">“Las autoridades </w:t>
      </w:r>
      <w:r w:rsidRPr="00D52DDD">
        <w:rPr>
          <w:i/>
          <w:sz w:val="22"/>
          <w:szCs w:val="22"/>
        </w:rPr>
        <w:t>municipales, distritales o metropolitanas 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w:t>
      </w:r>
      <w:r w:rsidR="009B5EAD">
        <w:rPr>
          <w:i/>
          <w:sz w:val="22"/>
          <w:szCs w:val="22"/>
        </w:rPr>
        <w:t xml:space="preserve"> </w:t>
      </w:r>
      <w:r w:rsidRPr="00D52DDD">
        <w:rPr>
          <w:sz w:val="22"/>
          <w:szCs w:val="22"/>
        </w:rPr>
        <w:t>(...)</w:t>
      </w:r>
    </w:p>
    <w:p w:rsidR="008A790F" w:rsidRPr="00D52DDD" w:rsidRDefault="008A790F">
      <w:pPr>
        <w:jc w:val="both"/>
        <w:rPr>
          <w:sz w:val="22"/>
          <w:szCs w:val="22"/>
        </w:rPr>
      </w:pPr>
    </w:p>
    <w:p w:rsidR="008A790F" w:rsidRPr="00D52DDD" w:rsidRDefault="00272DD2">
      <w:pPr>
        <w:jc w:val="both"/>
        <w:rPr>
          <w:b/>
          <w:sz w:val="22"/>
          <w:szCs w:val="22"/>
        </w:rPr>
      </w:pPr>
      <w:r w:rsidRPr="00D52DDD">
        <w:rPr>
          <w:b/>
          <w:sz w:val="22"/>
          <w:szCs w:val="22"/>
        </w:rPr>
        <w:t>Ley 1333 de 2009</w:t>
      </w:r>
    </w:p>
    <w:p w:rsidR="008A790F" w:rsidRPr="00D52DDD" w:rsidRDefault="00272DD2">
      <w:pPr>
        <w:jc w:val="both"/>
        <w:rPr>
          <w:b/>
          <w:i/>
          <w:sz w:val="22"/>
          <w:szCs w:val="22"/>
        </w:rPr>
      </w:pPr>
      <w:r w:rsidRPr="00D52DDD">
        <w:rPr>
          <w:b/>
          <w:i/>
          <w:sz w:val="22"/>
          <w:szCs w:val="22"/>
        </w:rPr>
        <w:t>“Por la cual se establece el procedimiento sancionatorio ambiental y se dictan otras disposiciones.”</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Artículo 1. Titularidad de la potestad sancionatoria en materia ambiental.</w:t>
      </w:r>
      <w:r w:rsidRPr="00D52DDD">
        <w:rPr>
          <w:sz w:val="22"/>
          <w:szCs w:val="22"/>
        </w:rPr>
        <w:t xml:space="preserve"> </w:t>
      </w:r>
      <w:r w:rsidRPr="00D52DDD">
        <w:rPr>
          <w:i/>
          <w:sz w:val="22"/>
          <w:szCs w:val="22"/>
        </w:rPr>
        <w:t>“El Estado es el titular de la potestad sancionatoria en materia ambiental y la ejerce sin perjuicio de las competencias legales de otras autoridades a través del Ministerio de Ambiente, Vivienda y Desarrollo Territorial, las Corporaciones Autónomas Regionales, las de Desarrollo Sostenible, las Unidades Ambientales de los grandes centros urbanos a que se refiere el artículo 66 de la Ley 99 de 1993”</w:t>
      </w:r>
    </w:p>
    <w:p w:rsidR="008A790F" w:rsidRPr="00D52DDD" w:rsidRDefault="008A790F">
      <w:pPr>
        <w:jc w:val="both"/>
        <w:rPr>
          <w:i/>
          <w:sz w:val="22"/>
          <w:szCs w:val="22"/>
        </w:rPr>
      </w:pPr>
    </w:p>
    <w:p w:rsidR="008A790F" w:rsidRPr="00D52DDD" w:rsidRDefault="00272DD2">
      <w:pPr>
        <w:jc w:val="both"/>
        <w:rPr>
          <w:i/>
          <w:sz w:val="22"/>
          <w:szCs w:val="22"/>
        </w:rPr>
      </w:pPr>
      <w:r w:rsidRPr="00D52DDD">
        <w:rPr>
          <w:b/>
          <w:sz w:val="22"/>
          <w:szCs w:val="22"/>
        </w:rPr>
        <w:t xml:space="preserve">Artículo 5. Infracciones. </w:t>
      </w:r>
      <w:r w:rsidRPr="00D52DDD">
        <w:rPr>
          <w:i/>
          <w:sz w:val="22"/>
          <w:szCs w:val="22"/>
        </w:rPr>
        <w:t>“Se considera infracción en materia ambiental toda acción u omisión que constituya violación de las normas contenidas en el Código de Recursos Naturales Renovables, Decreto-ley 2811 de 1974, en la Ley 99 de 1993, en la Ley 165 de 1994 y en las demás disposiciones ambientales vigentes en que las sustituyan o modifiquen</w:t>
      </w:r>
      <w:r w:rsidRPr="00D52DDD">
        <w:rPr>
          <w:sz w:val="22"/>
          <w:szCs w:val="22"/>
        </w:rPr>
        <w:t>(...)</w:t>
      </w:r>
      <w:r w:rsidRPr="00D52DDD">
        <w:rPr>
          <w:i/>
          <w:sz w:val="22"/>
          <w:szCs w:val="22"/>
        </w:rPr>
        <w:t>”</w:t>
      </w:r>
    </w:p>
    <w:p w:rsidR="008A790F" w:rsidRPr="00D52DDD" w:rsidRDefault="008A790F">
      <w:pPr>
        <w:jc w:val="both"/>
        <w:rPr>
          <w:i/>
          <w:sz w:val="22"/>
          <w:szCs w:val="22"/>
        </w:rPr>
      </w:pPr>
    </w:p>
    <w:p w:rsidR="008A790F" w:rsidRPr="00D52DDD" w:rsidRDefault="00272DD2">
      <w:pPr>
        <w:jc w:val="both"/>
        <w:rPr>
          <w:b/>
          <w:sz w:val="22"/>
          <w:szCs w:val="22"/>
        </w:rPr>
      </w:pPr>
      <w:r w:rsidRPr="00D52DDD">
        <w:rPr>
          <w:b/>
          <w:sz w:val="22"/>
          <w:szCs w:val="22"/>
        </w:rPr>
        <w:t>Ley 1801 DE 2016</w:t>
      </w:r>
    </w:p>
    <w:p w:rsidR="008A790F" w:rsidRPr="00D52DDD" w:rsidRDefault="00272DD2">
      <w:pPr>
        <w:jc w:val="both"/>
        <w:rPr>
          <w:b/>
          <w:i/>
          <w:sz w:val="22"/>
          <w:szCs w:val="22"/>
        </w:rPr>
      </w:pPr>
      <w:r w:rsidRPr="00D52DDD">
        <w:rPr>
          <w:b/>
          <w:i/>
          <w:sz w:val="22"/>
          <w:szCs w:val="22"/>
        </w:rPr>
        <w:t>"Por la cual se expide el Código Nacional de Seguridad y Convivencia Ciudadana"</w:t>
      </w:r>
    </w:p>
    <w:p w:rsidR="008A790F" w:rsidRPr="00D52DDD" w:rsidRDefault="008A790F">
      <w:pPr>
        <w:jc w:val="both"/>
        <w:rPr>
          <w:b/>
          <w:i/>
          <w:sz w:val="22"/>
          <w:szCs w:val="22"/>
        </w:rPr>
      </w:pPr>
    </w:p>
    <w:p w:rsidR="008A790F" w:rsidRPr="00D52DDD" w:rsidRDefault="00272DD2">
      <w:pPr>
        <w:jc w:val="both"/>
        <w:rPr>
          <w:i/>
          <w:sz w:val="22"/>
          <w:szCs w:val="22"/>
        </w:rPr>
      </w:pPr>
      <w:r w:rsidRPr="00D52DDD">
        <w:rPr>
          <w:b/>
          <w:sz w:val="22"/>
          <w:szCs w:val="22"/>
        </w:rPr>
        <w:t>Artículo 3. Ámbito de aplicación del Derecho de Policía.</w:t>
      </w:r>
      <w:r w:rsidRPr="00D52DDD">
        <w:rPr>
          <w:sz w:val="22"/>
          <w:szCs w:val="22"/>
        </w:rPr>
        <w:t xml:space="preserve"> </w:t>
      </w:r>
      <w:r w:rsidRPr="00D52DDD">
        <w:rPr>
          <w:i/>
          <w:sz w:val="22"/>
          <w:szCs w:val="22"/>
        </w:rPr>
        <w:t>“El derecho de Policía se aplicará a todas las personas naturales o jurídicas, de conformidad con este Código.</w:t>
      </w:r>
    </w:p>
    <w:p w:rsidR="008A790F" w:rsidRPr="00D52DDD" w:rsidRDefault="00272DD2">
      <w:pPr>
        <w:jc w:val="both"/>
        <w:rPr>
          <w:i/>
          <w:sz w:val="22"/>
          <w:szCs w:val="22"/>
        </w:rPr>
      </w:pPr>
      <w:r w:rsidRPr="00D52DDD">
        <w:rPr>
          <w:i/>
          <w:sz w:val="22"/>
          <w:szCs w:val="22"/>
        </w:rPr>
        <w:t>Las autoridades de Policía sujetarán sus actuaciones al procedimiento único de Policía, sin perjuicio de las competencias que les asistan en procedimientos regulados por leyes especiales.”</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Artículo 94. Comportamientos relacionados con la salud pública que afectan la actividad económica</w:t>
      </w:r>
      <w:r w:rsidRPr="00D52DDD">
        <w:rPr>
          <w:sz w:val="22"/>
          <w:szCs w:val="22"/>
        </w:rPr>
        <w:t xml:space="preserve">. </w:t>
      </w:r>
      <w:r w:rsidRPr="00D52DDD">
        <w:rPr>
          <w:i/>
          <w:sz w:val="22"/>
          <w:szCs w:val="22"/>
        </w:rPr>
        <w:t>“Los siguientes comportamientos relacionados con la salud pública afectan la actividad económica y por lo tanto no deben realizarse:</w:t>
      </w:r>
    </w:p>
    <w:p w:rsidR="008A790F" w:rsidRPr="00D52DDD" w:rsidRDefault="00272DD2">
      <w:pPr>
        <w:jc w:val="both"/>
        <w:rPr>
          <w:i/>
          <w:sz w:val="22"/>
          <w:szCs w:val="22"/>
        </w:rPr>
      </w:pPr>
      <w:r w:rsidRPr="00D52DDD">
        <w:rPr>
          <w:sz w:val="22"/>
          <w:szCs w:val="22"/>
        </w:rPr>
        <w:t xml:space="preserve">(...) </w:t>
      </w:r>
      <w:r w:rsidRPr="00D52DDD">
        <w:rPr>
          <w:i/>
          <w:sz w:val="22"/>
          <w:szCs w:val="22"/>
        </w:rPr>
        <w:t>2. No separar en la fuente los residuos sólidos, ni depositarlos selectivamente en un lugar destinado para tal efecto.</w:t>
      </w:r>
    </w:p>
    <w:p w:rsidR="008A790F" w:rsidRPr="00D52DDD" w:rsidRDefault="008A790F">
      <w:pPr>
        <w:jc w:val="both"/>
        <w:rPr>
          <w:b/>
          <w:i/>
          <w:sz w:val="22"/>
          <w:szCs w:val="22"/>
        </w:rPr>
      </w:pPr>
    </w:p>
    <w:p w:rsidR="008A790F" w:rsidRPr="00D52DDD" w:rsidRDefault="00272DD2">
      <w:pPr>
        <w:jc w:val="both"/>
        <w:rPr>
          <w:i/>
          <w:sz w:val="22"/>
          <w:szCs w:val="22"/>
        </w:rPr>
      </w:pPr>
      <w:r w:rsidRPr="00D52DDD">
        <w:rPr>
          <w:i/>
          <w:sz w:val="22"/>
          <w:szCs w:val="22"/>
        </w:rPr>
        <w:t>PARÁGRAFO 1. Quien incurra en uno o más de los comportamientos antes señalados, será objeto de la aplicación de las siguientes medidas:</w:t>
      </w:r>
    </w:p>
    <w:p w:rsidR="008A790F" w:rsidRPr="00D52DDD" w:rsidRDefault="00272DD2">
      <w:pPr>
        <w:jc w:val="both"/>
        <w:rPr>
          <w:i/>
          <w:sz w:val="22"/>
          <w:szCs w:val="22"/>
        </w:rPr>
      </w:pPr>
      <w:r w:rsidRPr="00D52DDD">
        <w:rPr>
          <w:i/>
          <w:sz w:val="22"/>
          <w:szCs w:val="22"/>
        </w:rPr>
        <w:t>Multa General tipo 4; Suspensión temporal de actividad.</w:t>
      </w:r>
    </w:p>
    <w:p w:rsidR="008A790F" w:rsidRPr="00D52DDD" w:rsidRDefault="00272DD2">
      <w:pPr>
        <w:jc w:val="both"/>
        <w:rPr>
          <w:i/>
          <w:sz w:val="22"/>
          <w:szCs w:val="22"/>
        </w:rPr>
      </w:pPr>
      <w:r w:rsidRPr="00D52DDD">
        <w:rPr>
          <w:i/>
          <w:sz w:val="22"/>
          <w:szCs w:val="22"/>
        </w:rPr>
        <w:t>Multa General tipo 3; Ocho (8) salarios mínimos diarios legales vigentes (</w:t>
      </w:r>
      <w:proofErr w:type="spellStart"/>
      <w:r w:rsidRPr="00D52DDD">
        <w:rPr>
          <w:i/>
          <w:sz w:val="22"/>
          <w:szCs w:val="22"/>
        </w:rPr>
        <w:t>smdlv</w:t>
      </w:r>
      <w:proofErr w:type="spellEnd"/>
      <w:r w:rsidRPr="00D52DDD">
        <w:rPr>
          <w:i/>
          <w:sz w:val="22"/>
          <w:szCs w:val="22"/>
        </w:rPr>
        <w:t>)</w:t>
      </w:r>
      <w:r w:rsidRPr="00D52DDD">
        <w:rPr>
          <w:sz w:val="22"/>
          <w:szCs w:val="22"/>
        </w:rPr>
        <w:t>(...)</w:t>
      </w:r>
      <w:r w:rsidRPr="00D52DDD">
        <w:rPr>
          <w:i/>
          <w:sz w:val="22"/>
          <w:szCs w:val="22"/>
        </w:rPr>
        <w:t>”</w:t>
      </w:r>
    </w:p>
    <w:p w:rsidR="008A790F" w:rsidRPr="00D52DDD" w:rsidRDefault="008A790F">
      <w:pPr>
        <w:jc w:val="both"/>
        <w:rPr>
          <w:sz w:val="22"/>
          <w:szCs w:val="22"/>
        </w:rPr>
      </w:pPr>
    </w:p>
    <w:p w:rsidR="008A790F" w:rsidRPr="00D52DDD" w:rsidRDefault="008A790F">
      <w:pPr>
        <w:jc w:val="both"/>
        <w:rPr>
          <w:sz w:val="22"/>
          <w:szCs w:val="22"/>
        </w:rPr>
      </w:pPr>
    </w:p>
    <w:p w:rsidR="008A790F" w:rsidRPr="00D52DDD" w:rsidRDefault="00272DD2">
      <w:pPr>
        <w:jc w:val="both"/>
        <w:rPr>
          <w:b/>
          <w:sz w:val="22"/>
          <w:szCs w:val="22"/>
        </w:rPr>
      </w:pPr>
      <w:r w:rsidRPr="00D52DDD">
        <w:rPr>
          <w:b/>
          <w:sz w:val="22"/>
          <w:szCs w:val="22"/>
        </w:rPr>
        <w:t>DECRETOS:</w:t>
      </w:r>
      <w:r w:rsidRPr="00D52DDD">
        <w:rPr>
          <w:b/>
          <w:sz w:val="22"/>
          <w:szCs w:val="22"/>
        </w:rPr>
        <w:br/>
      </w:r>
    </w:p>
    <w:p w:rsidR="008A790F" w:rsidRPr="00D52DDD" w:rsidRDefault="00272DD2">
      <w:pPr>
        <w:jc w:val="both"/>
        <w:rPr>
          <w:b/>
          <w:sz w:val="22"/>
          <w:szCs w:val="22"/>
        </w:rPr>
      </w:pPr>
      <w:r w:rsidRPr="00D52DDD">
        <w:rPr>
          <w:b/>
          <w:sz w:val="22"/>
          <w:szCs w:val="22"/>
        </w:rPr>
        <w:t>Decreto 2811 de 1974</w:t>
      </w:r>
    </w:p>
    <w:p w:rsidR="008A790F" w:rsidRPr="00D52DDD" w:rsidRDefault="00272DD2">
      <w:pPr>
        <w:jc w:val="both"/>
        <w:rPr>
          <w:i/>
          <w:sz w:val="22"/>
          <w:szCs w:val="22"/>
        </w:rPr>
      </w:pPr>
      <w:r w:rsidRPr="00D52DDD">
        <w:rPr>
          <w:b/>
          <w:i/>
          <w:sz w:val="22"/>
          <w:szCs w:val="22"/>
        </w:rPr>
        <w:t>“Por el cual se dicta el Código Nacional de Recursos Naturales Renovables y de Protección al Medio Ambiente.”</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Artículo 34.</w:t>
      </w:r>
      <w:r w:rsidRPr="00D52DDD">
        <w:rPr>
          <w:sz w:val="22"/>
          <w:szCs w:val="22"/>
        </w:rPr>
        <w:t xml:space="preserve"> </w:t>
      </w:r>
      <w:r w:rsidRPr="00D52DDD">
        <w:rPr>
          <w:i/>
          <w:sz w:val="22"/>
          <w:szCs w:val="22"/>
        </w:rPr>
        <w:t>“En el manejo de residuos, basuras, desechos y desperdicios, se observarán las siguientes reglas:</w:t>
      </w:r>
    </w:p>
    <w:p w:rsidR="008A790F" w:rsidRPr="00D52DDD" w:rsidRDefault="00272DD2">
      <w:pPr>
        <w:jc w:val="both"/>
        <w:rPr>
          <w:i/>
          <w:sz w:val="22"/>
          <w:szCs w:val="22"/>
        </w:rPr>
      </w:pPr>
      <w:r w:rsidRPr="00D52DDD">
        <w:rPr>
          <w:sz w:val="22"/>
          <w:szCs w:val="22"/>
        </w:rPr>
        <w:t xml:space="preserve">(...) </w:t>
      </w:r>
      <w:r w:rsidRPr="00D52DDD">
        <w:rPr>
          <w:b/>
          <w:i/>
          <w:sz w:val="22"/>
          <w:szCs w:val="22"/>
        </w:rPr>
        <w:t xml:space="preserve">b) </w:t>
      </w:r>
      <w:r w:rsidRPr="00D52DDD">
        <w:rPr>
          <w:i/>
          <w:sz w:val="22"/>
          <w:szCs w:val="22"/>
        </w:rPr>
        <w:t>La investigación científica y técnica se fomentará para:</w:t>
      </w:r>
    </w:p>
    <w:p w:rsidR="008A790F" w:rsidRPr="00D52DDD" w:rsidRDefault="00272DD2">
      <w:pPr>
        <w:jc w:val="both"/>
        <w:rPr>
          <w:i/>
          <w:sz w:val="22"/>
          <w:szCs w:val="22"/>
        </w:rPr>
      </w:pPr>
      <w:r w:rsidRPr="00D52DDD">
        <w:rPr>
          <w:i/>
          <w:sz w:val="22"/>
          <w:szCs w:val="22"/>
        </w:rPr>
        <w:lastRenderedPageBreak/>
        <w:t>4. Perfeccionar y desarrollar nuevos métodos para el tratamiento, recolección, depósito y disposición final de los residuos sólidos, líquidos o gaseosos no susceptibles de nueva utilización.</w:t>
      </w:r>
      <w:r w:rsidR="009B5EAD">
        <w:rPr>
          <w:i/>
          <w:sz w:val="22"/>
          <w:szCs w:val="22"/>
        </w:rPr>
        <w:t xml:space="preserve"> </w:t>
      </w:r>
      <w:r w:rsidRPr="00D52DDD">
        <w:rPr>
          <w:sz w:val="22"/>
          <w:szCs w:val="22"/>
        </w:rPr>
        <w:t>(...)</w:t>
      </w:r>
      <w:r w:rsidRPr="00D52DDD">
        <w:rPr>
          <w:i/>
          <w:sz w:val="22"/>
          <w:szCs w:val="22"/>
        </w:rPr>
        <w:t>”</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Artículo 38.</w:t>
      </w:r>
      <w:r w:rsidRPr="00D52DDD">
        <w:rPr>
          <w:sz w:val="22"/>
          <w:szCs w:val="22"/>
        </w:rPr>
        <w:t xml:space="preserve"> </w:t>
      </w:r>
      <w:r w:rsidRPr="00D52DDD">
        <w:rPr>
          <w:i/>
          <w:sz w:val="22"/>
          <w:szCs w:val="22"/>
        </w:rPr>
        <w:t>“Por razón del volumen o de la calidad de los residuos, las basuras, desechos o desperdicios, se podrá imponer a quien los produce la obligación de recolectarlos, tratarlos o disponer de ellos, señalándole los medios para cada caso.”</w:t>
      </w:r>
    </w:p>
    <w:p w:rsidR="008A790F" w:rsidRPr="00D52DDD" w:rsidRDefault="008A790F">
      <w:pPr>
        <w:jc w:val="both"/>
        <w:rPr>
          <w:i/>
          <w:sz w:val="22"/>
          <w:szCs w:val="22"/>
        </w:rPr>
      </w:pPr>
    </w:p>
    <w:p w:rsidR="008A790F" w:rsidRPr="00D52DDD" w:rsidRDefault="008A790F">
      <w:pPr>
        <w:jc w:val="both"/>
        <w:rPr>
          <w:sz w:val="22"/>
          <w:szCs w:val="22"/>
        </w:rPr>
      </w:pPr>
    </w:p>
    <w:p w:rsidR="0038389E" w:rsidRDefault="00272DD2">
      <w:pPr>
        <w:jc w:val="both"/>
        <w:rPr>
          <w:sz w:val="22"/>
          <w:szCs w:val="22"/>
        </w:rPr>
      </w:pPr>
      <w:r w:rsidRPr="00D52DDD">
        <w:rPr>
          <w:b/>
          <w:sz w:val="22"/>
          <w:szCs w:val="22"/>
        </w:rPr>
        <w:t>Decreto 312 de 2006</w:t>
      </w:r>
      <w:r w:rsidRPr="00D52DDD">
        <w:rPr>
          <w:sz w:val="22"/>
          <w:szCs w:val="22"/>
        </w:rPr>
        <w:t xml:space="preserve">  </w:t>
      </w:r>
    </w:p>
    <w:p w:rsidR="008A790F" w:rsidRPr="00D52DDD" w:rsidRDefault="00272DD2">
      <w:pPr>
        <w:jc w:val="both"/>
        <w:rPr>
          <w:b/>
          <w:i/>
          <w:sz w:val="22"/>
          <w:szCs w:val="22"/>
        </w:rPr>
      </w:pPr>
      <w:r w:rsidRPr="00D52DDD">
        <w:rPr>
          <w:b/>
          <w:i/>
          <w:sz w:val="22"/>
          <w:szCs w:val="22"/>
        </w:rPr>
        <w:t>“Por el cual se adopta el Plan Maestro para el Manejo Integral de Residuos Sólidos para Bogotá Distrito Capital”</w:t>
      </w:r>
    </w:p>
    <w:p w:rsidR="008A790F" w:rsidRPr="00D52DDD" w:rsidRDefault="008A790F">
      <w:pPr>
        <w:jc w:val="both"/>
        <w:rPr>
          <w:b/>
          <w:i/>
          <w:sz w:val="22"/>
          <w:szCs w:val="22"/>
        </w:rPr>
      </w:pPr>
    </w:p>
    <w:p w:rsidR="008A790F" w:rsidRPr="00D52DDD" w:rsidRDefault="00272DD2">
      <w:pPr>
        <w:jc w:val="both"/>
        <w:rPr>
          <w:sz w:val="22"/>
          <w:szCs w:val="22"/>
        </w:rPr>
      </w:pPr>
      <w:r w:rsidRPr="00D52DDD">
        <w:rPr>
          <w:sz w:val="22"/>
          <w:szCs w:val="22"/>
        </w:rPr>
        <w:t xml:space="preserve">Este Decreto pretende </w:t>
      </w:r>
      <w:proofErr w:type="gramStart"/>
      <w:r w:rsidRPr="00D52DDD">
        <w:rPr>
          <w:sz w:val="22"/>
          <w:szCs w:val="22"/>
        </w:rPr>
        <w:t>que</w:t>
      </w:r>
      <w:proofErr w:type="gramEnd"/>
      <w:r w:rsidRPr="00D52DDD">
        <w:rPr>
          <w:sz w:val="22"/>
          <w:szCs w:val="22"/>
        </w:rPr>
        <w:t xml:space="preserve"> por medio de comportamientos individuales y colectivos, se de manejo adecuado de residuos incentivando el </w:t>
      </w:r>
      <w:proofErr w:type="spellStart"/>
      <w:r w:rsidRPr="00D52DDD">
        <w:rPr>
          <w:sz w:val="22"/>
          <w:szCs w:val="22"/>
        </w:rPr>
        <w:t>reuso</w:t>
      </w:r>
      <w:proofErr w:type="spellEnd"/>
      <w:r w:rsidRPr="00D52DDD">
        <w:rPr>
          <w:sz w:val="22"/>
          <w:szCs w:val="22"/>
        </w:rPr>
        <w:t>, la minimización y la separación en la fuente, orientado a los generadores hacia la producción más limpia.</w:t>
      </w:r>
    </w:p>
    <w:p w:rsidR="008A790F" w:rsidRPr="00D52DDD" w:rsidRDefault="008A790F">
      <w:pPr>
        <w:jc w:val="both"/>
        <w:rPr>
          <w:b/>
          <w:i/>
          <w:sz w:val="22"/>
          <w:szCs w:val="22"/>
        </w:rPr>
      </w:pPr>
    </w:p>
    <w:p w:rsidR="008A790F" w:rsidRPr="00D52DDD" w:rsidRDefault="00272DD2">
      <w:pPr>
        <w:jc w:val="both"/>
        <w:rPr>
          <w:i/>
          <w:sz w:val="22"/>
          <w:szCs w:val="22"/>
        </w:rPr>
      </w:pPr>
      <w:r w:rsidRPr="00D52DDD">
        <w:rPr>
          <w:b/>
          <w:sz w:val="22"/>
          <w:szCs w:val="22"/>
        </w:rPr>
        <w:t>Artículo 2. Ámbito de Aplicación.</w:t>
      </w:r>
      <w:r w:rsidRPr="00D52DDD">
        <w:rPr>
          <w:sz w:val="22"/>
          <w:szCs w:val="22"/>
        </w:rPr>
        <w:t xml:space="preserve"> </w:t>
      </w:r>
      <w:r w:rsidRPr="00D52DDD">
        <w:rPr>
          <w:i/>
          <w:sz w:val="22"/>
          <w:szCs w:val="22"/>
        </w:rPr>
        <w:t>“El presente plan aplica a todas las personas que generan, reciclan y aprovechan residuos sólidos ordinarios y especiales y a las entidades públicas y personas o empresas privadas y organizaciones comunitarias y cooperativas vinculadas a la prestación del Servicio Público de Aseo.”</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 xml:space="preserve">Artículo 66. Programa de Campañas pedagógicas de separación en la fuente. </w:t>
      </w:r>
      <w:r w:rsidRPr="00D52DDD">
        <w:rPr>
          <w:sz w:val="22"/>
          <w:szCs w:val="22"/>
        </w:rPr>
        <w:t>“</w:t>
      </w:r>
      <w:r w:rsidRPr="00D52DDD">
        <w:rPr>
          <w:i/>
          <w:sz w:val="22"/>
          <w:szCs w:val="22"/>
        </w:rPr>
        <w:t>La UAESP y las entidades que prestan el servicio Público de aseo directamente o en convenio con otras entidades, desarrollarán campañas de cultura ciudadana en el manejo responsable de los residuos y de separación en la fuente.”</w:t>
      </w:r>
    </w:p>
    <w:p w:rsidR="008A790F" w:rsidRPr="00D52DDD" w:rsidRDefault="008A790F">
      <w:pPr>
        <w:jc w:val="both"/>
        <w:rPr>
          <w:sz w:val="22"/>
          <w:szCs w:val="22"/>
        </w:rPr>
      </w:pPr>
    </w:p>
    <w:p w:rsidR="008A790F" w:rsidRPr="00D52DDD" w:rsidRDefault="008A790F">
      <w:pPr>
        <w:jc w:val="both"/>
        <w:rPr>
          <w:sz w:val="22"/>
          <w:szCs w:val="22"/>
        </w:rPr>
      </w:pPr>
    </w:p>
    <w:p w:rsidR="008A790F" w:rsidRPr="00D52DDD" w:rsidRDefault="00272DD2">
      <w:pPr>
        <w:jc w:val="both"/>
        <w:rPr>
          <w:b/>
          <w:sz w:val="22"/>
          <w:szCs w:val="22"/>
        </w:rPr>
      </w:pPr>
      <w:r w:rsidRPr="00D52DDD">
        <w:rPr>
          <w:b/>
          <w:sz w:val="22"/>
          <w:szCs w:val="22"/>
        </w:rPr>
        <w:t>Decreto 2981 de 2013</w:t>
      </w:r>
    </w:p>
    <w:p w:rsidR="008A790F" w:rsidRPr="00D52DDD" w:rsidRDefault="00272DD2">
      <w:pPr>
        <w:jc w:val="both"/>
        <w:rPr>
          <w:b/>
          <w:i/>
          <w:sz w:val="22"/>
          <w:szCs w:val="22"/>
        </w:rPr>
      </w:pPr>
      <w:r w:rsidRPr="00D52DDD">
        <w:rPr>
          <w:b/>
          <w:i/>
          <w:sz w:val="22"/>
          <w:szCs w:val="22"/>
        </w:rPr>
        <w:t>“Por el cual se reglamenta la prestación del servicio público de aseo.”</w:t>
      </w:r>
    </w:p>
    <w:p w:rsidR="008A790F" w:rsidRPr="00D52DDD" w:rsidRDefault="00272DD2">
      <w:pPr>
        <w:jc w:val="both"/>
        <w:rPr>
          <w:i/>
          <w:sz w:val="22"/>
          <w:szCs w:val="22"/>
        </w:rPr>
      </w:pPr>
      <w:r w:rsidRPr="00D52DDD">
        <w:rPr>
          <w:b/>
          <w:sz w:val="22"/>
          <w:szCs w:val="22"/>
        </w:rPr>
        <w:t>Artículo 17. Obligaciones de los usuarios para el almacenamiento y la presentación de residuos sólidos.</w:t>
      </w:r>
      <w:r w:rsidRPr="00D52DDD">
        <w:rPr>
          <w:i/>
          <w:sz w:val="22"/>
          <w:szCs w:val="22"/>
        </w:rPr>
        <w:t xml:space="preserve"> “Son obligaciones de los usuarios del servicio público de aseo, en cuanto al almacenamiento y la presentación de residuos sólidos:</w:t>
      </w:r>
    </w:p>
    <w:p w:rsidR="008A790F" w:rsidRPr="00D52DDD" w:rsidRDefault="00272DD2">
      <w:pPr>
        <w:jc w:val="both"/>
        <w:rPr>
          <w:i/>
          <w:sz w:val="22"/>
          <w:szCs w:val="22"/>
        </w:rPr>
      </w:pPr>
      <w:r w:rsidRPr="00D52DDD">
        <w:rPr>
          <w:i/>
          <w:sz w:val="22"/>
          <w:szCs w:val="22"/>
        </w:rPr>
        <w:t>1. Almacenar y presentar los residuos sólidos, de acuerdo a lo dispuesto en este decreto, en el Plan de Gestión Integral de Residuos Sólidos de los municipios o distritos, en los respectivos programas para la prestación del servicio público de aseo, aspectos que deben estar definidos en el Contrato de Servicios Públicos.</w:t>
      </w:r>
    </w:p>
    <w:p w:rsidR="008A790F" w:rsidRPr="00D52DDD" w:rsidRDefault="00272DD2">
      <w:pPr>
        <w:jc w:val="both"/>
        <w:rPr>
          <w:i/>
          <w:sz w:val="22"/>
          <w:szCs w:val="22"/>
        </w:rPr>
      </w:pPr>
      <w:r w:rsidRPr="00D52DDD">
        <w:rPr>
          <w:i/>
          <w:sz w:val="22"/>
          <w:szCs w:val="22"/>
        </w:rPr>
        <w:t>2. Realizar la separación de residuos en la fuente, tal como lo establezca el Plan de Gestión Integral de Residuos Sólidos del respectivo municipio o distrito para su adecuado almacenamiento y posterior presentación.”</w:t>
      </w:r>
    </w:p>
    <w:p w:rsidR="008A790F" w:rsidRPr="00D52DDD" w:rsidRDefault="008A790F">
      <w:pPr>
        <w:jc w:val="both"/>
        <w:rPr>
          <w:i/>
          <w:sz w:val="22"/>
          <w:szCs w:val="22"/>
        </w:rPr>
      </w:pPr>
    </w:p>
    <w:p w:rsidR="008A790F" w:rsidRPr="00D52DDD" w:rsidRDefault="00272DD2">
      <w:pPr>
        <w:jc w:val="both"/>
        <w:rPr>
          <w:i/>
          <w:sz w:val="22"/>
          <w:szCs w:val="22"/>
        </w:rPr>
      </w:pPr>
      <w:r w:rsidRPr="00D52DDD">
        <w:rPr>
          <w:b/>
          <w:sz w:val="22"/>
          <w:szCs w:val="22"/>
        </w:rPr>
        <w:t>Artículo 93. Gestión diferencial de residuos aprovechables.</w:t>
      </w:r>
      <w:r w:rsidRPr="00D52DDD">
        <w:rPr>
          <w:i/>
          <w:sz w:val="22"/>
          <w:szCs w:val="22"/>
        </w:rPr>
        <w:t xml:space="preserve"> “Cuando sea viable el desarrollo de proyectos de aprovechamiento, el ente territorial deberá establecer, acorde con el régimen de servicios públicos, una estrategia técnica, operativa y administrativa que garantice la gestión diferencial de residuos aprovechables y no aprovechables. Para ello se deberá tener en cuenta los siguientes aspectos:</w:t>
      </w:r>
    </w:p>
    <w:p w:rsidR="008A790F" w:rsidRPr="00D52DDD" w:rsidRDefault="00272DD2">
      <w:pPr>
        <w:jc w:val="both"/>
        <w:rPr>
          <w:i/>
          <w:sz w:val="22"/>
          <w:szCs w:val="22"/>
        </w:rPr>
      </w:pPr>
      <w:r w:rsidRPr="00D52DDD">
        <w:rPr>
          <w:i/>
          <w:sz w:val="22"/>
          <w:szCs w:val="22"/>
        </w:rPr>
        <w:lastRenderedPageBreak/>
        <w:t>1. Desarrollar un programa de separación en la fuente.</w:t>
      </w:r>
    </w:p>
    <w:p w:rsidR="0038389E" w:rsidRDefault="00272DD2">
      <w:pPr>
        <w:jc w:val="both"/>
        <w:rPr>
          <w:i/>
          <w:sz w:val="22"/>
          <w:szCs w:val="22"/>
        </w:rPr>
      </w:pPr>
      <w:r w:rsidRPr="00D52DDD">
        <w:rPr>
          <w:i/>
          <w:sz w:val="22"/>
          <w:szCs w:val="22"/>
        </w:rPr>
        <w:t>Parágrafo 1°. Es deber de los usuarios realizar separación en la fuente cuando se haga recolección selectiva de residuos sólidos aprovechables, de acuerdo con las condiciones establecidas por los respectivos Planes de Gestión Integral de Residuos Sólidos-PGIRS y el Programa de Prestación del Servicio.”</w:t>
      </w:r>
    </w:p>
    <w:p w:rsidR="008A790F" w:rsidRPr="00D52DDD" w:rsidRDefault="008A790F">
      <w:pPr>
        <w:jc w:val="both"/>
        <w:rPr>
          <w:i/>
          <w:sz w:val="22"/>
          <w:szCs w:val="22"/>
        </w:rPr>
      </w:pPr>
    </w:p>
    <w:p w:rsidR="008A790F" w:rsidRPr="00D52DDD" w:rsidRDefault="008A790F">
      <w:pPr>
        <w:jc w:val="both"/>
        <w:rPr>
          <w:i/>
          <w:sz w:val="22"/>
          <w:szCs w:val="22"/>
        </w:rPr>
      </w:pPr>
    </w:p>
    <w:p w:rsidR="008A790F" w:rsidRPr="00D52DDD" w:rsidRDefault="00272DD2">
      <w:pPr>
        <w:jc w:val="both"/>
        <w:rPr>
          <w:b/>
          <w:sz w:val="22"/>
          <w:szCs w:val="22"/>
        </w:rPr>
      </w:pPr>
      <w:r w:rsidRPr="00D52DDD">
        <w:rPr>
          <w:b/>
          <w:sz w:val="22"/>
          <w:szCs w:val="22"/>
        </w:rPr>
        <w:t>Decreto 349 de 2014</w:t>
      </w:r>
    </w:p>
    <w:p w:rsidR="008A790F" w:rsidRPr="00D52DDD" w:rsidRDefault="00272DD2">
      <w:pPr>
        <w:jc w:val="both"/>
        <w:rPr>
          <w:b/>
          <w:i/>
          <w:sz w:val="22"/>
          <w:szCs w:val="22"/>
        </w:rPr>
      </w:pPr>
      <w:r w:rsidRPr="00D52DDD">
        <w:rPr>
          <w:b/>
          <w:i/>
          <w:sz w:val="22"/>
          <w:szCs w:val="22"/>
        </w:rPr>
        <w:t>“Por el cual se reglamenta la imposición y aplicación del Comparendo Ambiental en el Distrito Capital”</w:t>
      </w:r>
    </w:p>
    <w:p w:rsidR="008A790F" w:rsidRPr="00D52DDD" w:rsidRDefault="008A790F">
      <w:pPr>
        <w:jc w:val="both"/>
        <w:rPr>
          <w:b/>
          <w:i/>
          <w:sz w:val="22"/>
          <w:szCs w:val="22"/>
        </w:rPr>
      </w:pPr>
    </w:p>
    <w:p w:rsidR="008A790F" w:rsidRPr="00D52DDD" w:rsidRDefault="00272DD2">
      <w:pPr>
        <w:jc w:val="both"/>
        <w:rPr>
          <w:b/>
          <w:sz w:val="22"/>
          <w:szCs w:val="22"/>
        </w:rPr>
      </w:pPr>
      <w:r w:rsidRPr="00D52DDD">
        <w:rPr>
          <w:b/>
          <w:sz w:val="22"/>
          <w:szCs w:val="22"/>
        </w:rPr>
        <w:t xml:space="preserve">Artículo 7. Las infracciones. </w:t>
      </w:r>
    </w:p>
    <w:p w:rsidR="008A790F" w:rsidRPr="00D52DDD" w:rsidRDefault="00272DD2">
      <w:pPr>
        <w:jc w:val="both"/>
        <w:rPr>
          <w:sz w:val="22"/>
          <w:szCs w:val="22"/>
        </w:rPr>
      </w:pPr>
      <w:r w:rsidRPr="00D52DDD">
        <w:rPr>
          <w:i/>
          <w:sz w:val="22"/>
          <w:szCs w:val="22"/>
        </w:rPr>
        <w:t>“</w:t>
      </w:r>
      <w:r w:rsidRPr="00D52DDD">
        <w:rPr>
          <w:sz w:val="22"/>
          <w:szCs w:val="22"/>
        </w:rPr>
        <w:t>(...)</w:t>
      </w:r>
    </w:p>
    <w:p w:rsidR="008A790F" w:rsidRPr="00D52DDD" w:rsidRDefault="00272DD2">
      <w:pPr>
        <w:jc w:val="both"/>
        <w:rPr>
          <w:i/>
          <w:sz w:val="22"/>
          <w:szCs w:val="22"/>
        </w:rPr>
      </w:pPr>
      <w:r w:rsidRPr="00D52DDD">
        <w:rPr>
          <w:i/>
          <w:sz w:val="22"/>
          <w:szCs w:val="22"/>
        </w:rPr>
        <w:t>18. No disponer separadamente para su recolección, los residuos reciclables de los no reciclables.</w:t>
      </w:r>
    </w:p>
    <w:p w:rsidR="008A790F" w:rsidRPr="00D52DDD" w:rsidRDefault="00272DD2">
      <w:pPr>
        <w:jc w:val="both"/>
        <w:rPr>
          <w:sz w:val="22"/>
          <w:szCs w:val="22"/>
        </w:rPr>
      </w:pPr>
      <w:r w:rsidRPr="00D52DDD">
        <w:rPr>
          <w:sz w:val="22"/>
          <w:szCs w:val="22"/>
        </w:rPr>
        <w:t>(...)”</w:t>
      </w:r>
    </w:p>
    <w:p w:rsidR="008A790F" w:rsidRPr="00D52DDD" w:rsidRDefault="00272DD2">
      <w:pPr>
        <w:jc w:val="both"/>
        <w:rPr>
          <w:sz w:val="22"/>
          <w:szCs w:val="22"/>
        </w:rPr>
      </w:pPr>
      <w:r w:rsidRPr="00D52DDD">
        <w:rPr>
          <w:b/>
          <w:sz w:val="22"/>
          <w:szCs w:val="22"/>
        </w:rPr>
        <w:t xml:space="preserve">Anexo: </w:t>
      </w:r>
      <w:r w:rsidRPr="00D52DDD">
        <w:rPr>
          <w:sz w:val="22"/>
          <w:szCs w:val="22"/>
        </w:rPr>
        <w:t xml:space="preserve">Tanto para persona natural como persona jurídica que cometa esta infracción, se dispone una multa de 5 </w:t>
      </w:r>
      <w:proofErr w:type="spellStart"/>
      <w:r w:rsidRPr="00D52DDD">
        <w:rPr>
          <w:sz w:val="22"/>
          <w:szCs w:val="22"/>
        </w:rPr>
        <w:t>s.m.d.l.v</w:t>
      </w:r>
      <w:proofErr w:type="spellEnd"/>
      <w:r w:rsidRPr="00D52DDD">
        <w:rPr>
          <w:sz w:val="22"/>
          <w:szCs w:val="22"/>
        </w:rPr>
        <w:t>.</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 xml:space="preserve">Artículo 9. </w:t>
      </w:r>
      <w:r w:rsidRPr="00D52DDD">
        <w:rPr>
          <w:sz w:val="22"/>
          <w:szCs w:val="22"/>
        </w:rPr>
        <w:t>“</w:t>
      </w:r>
      <w:r w:rsidRPr="00D52DDD">
        <w:rPr>
          <w:i/>
          <w:sz w:val="22"/>
          <w:szCs w:val="22"/>
        </w:rPr>
        <w:t>Las sanciones por las infracciones de que trata el presente Decreto son de naturaleza policiva y se impondrán sin perjuicio de las facultades de otras autoridades.</w:t>
      </w:r>
    </w:p>
    <w:p w:rsidR="008A790F" w:rsidRPr="00D52DDD" w:rsidRDefault="008A790F">
      <w:pPr>
        <w:jc w:val="both"/>
        <w:rPr>
          <w:sz w:val="22"/>
          <w:szCs w:val="22"/>
        </w:rPr>
      </w:pPr>
    </w:p>
    <w:p w:rsidR="008A790F" w:rsidRPr="00D52DDD" w:rsidRDefault="008A790F">
      <w:pPr>
        <w:jc w:val="both"/>
        <w:rPr>
          <w:sz w:val="22"/>
          <w:szCs w:val="22"/>
        </w:rPr>
      </w:pPr>
    </w:p>
    <w:p w:rsidR="008A790F" w:rsidRPr="00D52DDD" w:rsidRDefault="00272DD2">
      <w:pPr>
        <w:jc w:val="both"/>
        <w:rPr>
          <w:b/>
          <w:sz w:val="22"/>
          <w:szCs w:val="22"/>
        </w:rPr>
      </w:pPr>
      <w:r w:rsidRPr="00D52DDD">
        <w:rPr>
          <w:b/>
          <w:sz w:val="22"/>
          <w:szCs w:val="22"/>
        </w:rPr>
        <w:t>Decreto 345 DE 2020</w:t>
      </w:r>
    </w:p>
    <w:p w:rsidR="008A790F" w:rsidRPr="00D52DDD" w:rsidRDefault="00272DD2">
      <w:pPr>
        <w:jc w:val="both"/>
        <w:rPr>
          <w:b/>
          <w:i/>
          <w:sz w:val="22"/>
          <w:szCs w:val="22"/>
        </w:rPr>
      </w:pPr>
      <w:r w:rsidRPr="00D52DDD">
        <w:rPr>
          <w:b/>
          <w:i/>
          <w:sz w:val="22"/>
          <w:szCs w:val="22"/>
        </w:rPr>
        <w:t>“Por el cual se adopta la actualización del Plan de Gestión Integral de Residuos Sólidos – PGIRS- del Distrito Capital, y se dictan otras disposiciones”</w:t>
      </w:r>
    </w:p>
    <w:p w:rsidR="008A790F" w:rsidRPr="00D52DDD" w:rsidRDefault="008A790F">
      <w:pPr>
        <w:jc w:val="both"/>
        <w:rPr>
          <w:b/>
          <w:sz w:val="22"/>
          <w:szCs w:val="22"/>
        </w:rPr>
      </w:pPr>
    </w:p>
    <w:p w:rsidR="008A790F" w:rsidRPr="00D52DDD" w:rsidRDefault="00272DD2">
      <w:pPr>
        <w:jc w:val="both"/>
        <w:rPr>
          <w:sz w:val="22"/>
          <w:szCs w:val="22"/>
        </w:rPr>
      </w:pPr>
      <w:r w:rsidRPr="00D52DDD">
        <w:rPr>
          <w:sz w:val="22"/>
          <w:szCs w:val="22"/>
        </w:rPr>
        <w:t xml:space="preserve">Plantea la necesidad de generar la articulación interinstitucional para la aplicación efectiva de sanciones contenidas en la ley en el marco de la gestión integral de residuos sólidos, donde se establece: </w:t>
      </w:r>
    </w:p>
    <w:p w:rsidR="008A790F" w:rsidRPr="00D52DDD" w:rsidRDefault="00272DD2">
      <w:pPr>
        <w:jc w:val="both"/>
        <w:rPr>
          <w:sz w:val="22"/>
          <w:szCs w:val="22"/>
        </w:rPr>
      </w:pPr>
      <w:r w:rsidRPr="00D52DDD">
        <w:rPr>
          <w:sz w:val="22"/>
          <w:szCs w:val="22"/>
        </w:rPr>
        <w:t xml:space="preserve">“(...)Adelantar mesas de trabajo con las entidades competentes para la imposición de medidas sancionatorias por manejo inadecuado de residuos. Estas sanciones estarán a cargo de SDG, </w:t>
      </w:r>
      <w:proofErr w:type="spellStart"/>
      <w:r w:rsidRPr="00D52DDD">
        <w:rPr>
          <w:sz w:val="22"/>
          <w:szCs w:val="22"/>
        </w:rPr>
        <w:t>SDGSeg</w:t>
      </w:r>
      <w:proofErr w:type="spellEnd"/>
      <w:r w:rsidRPr="00D52DDD">
        <w:rPr>
          <w:sz w:val="22"/>
          <w:szCs w:val="22"/>
        </w:rPr>
        <w:t xml:space="preserve"> UAESP, SDA, Alcaldías Locales, Policía(...)”</w:t>
      </w:r>
      <w:r w:rsidRPr="00D52DDD">
        <w:rPr>
          <w:sz w:val="22"/>
          <w:szCs w:val="22"/>
        </w:rPr>
        <w:br/>
      </w:r>
    </w:p>
    <w:p w:rsidR="008A790F" w:rsidRPr="00D52DDD" w:rsidRDefault="00272DD2">
      <w:pPr>
        <w:jc w:val="both"/>
        <w:rPr>
          <w:i/>
          <w:sz w:val="22"/>
          <w:szCs w:val="22"/>
        </w:rPr>
      </w:pPr>
      <w:r w:rsidRPr="00D52DDD">
        <w:rPr>
          <w:i/>
          <w:sz w:val="22"/>
          <w:szCs w:val="22"/>
        </w:rPr>
        <w:t>“Los usuarios del servicio público de aseo deberán presentar sus residuos de manera separada de acuerdo como lo determina la Resolución No. 2184 de 2019 o la normatividad que se expida en materia de gestión integral de residuos la que la modifique o sustituya.”</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Artículo 5. Coordinación General del PGIRS.</w:t>
      </w:r>
      <w:r w:rsidRPr="00D52DDD">
        <w:rPr>
          <w:sz w:val="22"/>
          <w:szCs w:val="22"/>
        </w:rPr>
        <w:t xml:space="preserve"> </w:t>
      </w:r>
      <w:r w:rsidRPr="00D52DDD">
        <w:rPr>
          <w:i/>
          <w:sz w:val="22"/>
          <w:szCs w:val="22"/>
        </w:rPr>
        <w:t>“La coordinación general del PGIRS estará a cargo de la Unidad Administrativa Especial de Servicios Públicos – UAESP – o quien ejerza sus funciones, en consecuencia, será la responsable de articular las diferentes acciones interinstitucionales requeridas para el cumplimiento de los programas, proyectos, actividades y metas planteadas en el PGIRS.”</w:t>
      </w:r>
    </w:p>
    <w:p w:rsidR="008A790F" w:rsidRPr="00D52DDD" w:rsidRDefault="008A790F">
      <w:pPr>
        <w:jc w:val="both"/>
        <w:rPr>
          <w:i/>
          <w:sz w:val="22"/>
          <w:szCs w:val="22"/>
        </w:rPr>
      </w:pPr>
    </w:p>
    <w:p w:rsidR="008A790F" w:rsidRPr="00D52DDD" w:rsidRDefault="008A790F">
      <w:pPr>
        <w:jc w:val="both"/>
        <w:rPr>
          <w:i/>
          <w:sz w:val="22"/>
          <w:szCs w:val="22"/>
        </w:rPr>
      </w:pPr>
    </w:p>
    <w:p w:rsidR="008A790F" w:rsidRPr="00D52DDD" w:rsidRDefault="00272DD2">
      <w:pPr>
        <w:jc w:val="both"/>
        <w:rPr>
          <w:b/>
          <w:sz w:val="22"/>
          <w:szCs w:val="22"/>
        </w:rPr>
      </w:pPr>
      <w:r w:rsidRPr="00D52DDD">
        <w:rPr>
          <w:b/>
          <w:sz w:val="22"/>
          <w:szCs w:val="22"/>
        </w:rPr>
        <w:t>Decreto 555 de 2021</w:t>
      </w:r>
    </w:p>
    <w:p w:rsidR="008A790F" w:rsidRPr="00D52DDD" w:rsidRDefault="00272DD2">
      <w:pPr>
        <w:jc w:val="both"/>
        <w:rPr>
          <w:b/>
          <w:i/>
          <w:sz w:val="22"/>
          <w:szCs w:val="22"/>
        </w:rPr>
      </w:pPr>
      <w:r w:rsidRPr="00D52DDD">
        <w:rPr>
          <w:b/>
          <w:i/>
          <w:sz w:val="22"/>
          <w:szCs w:val="22"/>
        </w:rPr>
        <w:lastRenderedPageBreak/>
        <w:t>“Por el cual se adopta la revisión general del Plan de Ordenamiento Territorial de Bogotá D.C.”</w:t>
      </w:r>
    </w:p>
    <w:p w:rsidR="008A790F" w:rsidRPr="00D52DDD" w:rsidRDefault="00272DD2">
      <w:pPr>
        <w:jc w:val="both"/>
        <w:rPr>
          <w:sz w:val="22"/>
          <w:szCs w:val="22"/>
        </w:rPr>
      </w:pPr>
      <w:r w:rsidRPr="00D52DDD">
        <w:rPr>
          <w:b/>
          <w:sz w:val="22"/>
          <w:szCs w:val="22"/>
        </w:rPr>
        <w:t>Artículo 17. Medidas Territoriales para la Mitigación y Adaptación al Cambio Climático.</w:t>
      </w:r>
      <w:r w:rsidRPr="00D52DDD">
        <w:rPr>
          <w:sz w:val="22"/>
          <w:szCs w:val="22"/>
        </w:rPr>
        <w:t xml:space="preserve"> </w:t>
      </w:r>
    </w:p>
    <w:p w:rsidR="008A790F" w:rsidRPr="00D52DDD" w:rsidRDefault="00272DD2">
      <w:pPr>
        <w:jc w:val="both"/>
        <w:rPr>
          <w:sz w:val="22"/>
          <w:szCs w:val="22"/>
        </w:rPr>
      </w:pPr>
      <w:r w:rsidRPr="00D52DDD">
        <w:rPr>
          <w:i/>
          <w:sz w:val="22"/>
          <w:szCs w:val="22"/>
        </w:rPr>
        <w:t>“</w:t>
      </w:r>
      <w:r w:rsidRPr="00D52DDD">
        <w:rPr>
          <w:sz w:val="22"/>
          <w:szCs w:val="22"/>
        </w:rPr>
        <w:t>(...)</w:t>
      </w:r>
    </w:p>
    <w:p w:rsidR="008A790F" w:rsidRPr="00D52DDD" w:rsidRDefault="00272DD2">
      <w:pPr>
        <w:jc w:val="both"/>
        <w:rPr>
          <w:i/>
          <w:sz w:val="22"/>
          <w:szCs w:val="22"/>
        </w:rPr>
      </w:pPr>
      <w:r w:rsidRPr="00D52DDD">
        <w:rPr>
          <w:i/>
          <w:sz w:val="22"/>
          <w:szCs w:val="22"/>
        </w:rPr>
        <w:t>El Distrito Capital promoverá una propuesta integral de aprovechamiento de residuos orgánicos y plásticos a escala barrial, local, distrital y regional, con el fin de cerrar gradualmente la disposición final (entierro de residuos) en el Parque de Innovación Doña Juana en coordinación con el PGIRS.”</w:t>
      </w:r>
    </w:p>
    <w:p w:rsidR="008A790F" w:rsidRPr="00D52DDD" w:rsidRDefault="008A790F">
      <w:pPr>
        <w:jc w:val="both"/>
        <w:rPr>
          <w:sz w:val="22"/>
          <w:szCs w:val="22"/>
        </w:rPr>
      </w:pPr>
    </w:p>
    <w:p w:rsidR="008A790F" w:rsidRPr="00D52DDD" w:rsidRDefault="008A790F">
      <w:pPr>
        <w:jc w:val="both"/>
        <w:rPr>
          <w:i/>
          <w:sz w:val="22"/>
          <w:szCs w:val="22"/>
        </w:rPr>
      </w:pPr>
    </w:p>
    <w:p w:rsidR="008A790F" w:rsidRPr="00D52DDD" w:rsidRDefault="00272DD2">
      <w:pPr>
        <w:jc w:val="both"/>
        <w:rPr>
          <w:b/>
          <w:sz w:val="22"/>
          <w:szCs w:val="22"/>
        </w:rPr>
      </w:pPr>
      <w:r w:rsidRPr="00D52DDD">
        <w:rPr>
          <w:b/>
          <w:sz w:val="22"/>
          <w:szCs w:val="22"/>
        </w:rPr>
        <w:t>Decreto 802 de 2022</w:t>
      </w:r>
    </w:p>
    <w:p w:rsidR="008A790F" w:rsidRPr="00D52DDD" w:rsidRDefault="00272DD2">
      <w:pPr>
        <w:jc w:val="both"/>
        <w:rPr>
          <w:b/>
          <w:i/>
          <w:sz w:val="22"/>
          <w:szCs w:val="22"/>
        </w:rPr>
      </w:pPr>
      <w:r w:rsidRPr="00D52DDD">
        <w:rPr>
          <w:b/>
          <w:i/>
          <w:sz w:val="22"/>
          <w:szCs w:val="22"/>
        </w:rPr>
        <w:t>“Por el cual se sustituye el capítulo 7, al título 2, de la parte 3, del libro 2, del Decreto Único Reglamentario del Sector Vivienda, Ciudad y Territorio, Decreto 1077 del 26 de mayo de 2015, que reglamenta parcialmente el artículo 88 de la Ley 1753 de 2015, en lo referente al incentivo al aprovechamiento de residuos sólidos y se dictan otras disposiciones”</w:t>
      </w:r>
    </w:p>
    <w:p w:rsidR="008A790F" w:rsidRPr="00D52DDD" w:rsidRDefault="008A790F">
      <w:pPr>
        <w:jc w:val="both"/>
        <w:rPr>
          <w:b/>
          <w:i/>
          <w:sz w:val="22"/>
          <w:szCs w:val="22"/>
        </w:rPr>
      </w:pPr>
    </w:p>
    <w:p w:rsidR="008A790F" w:rsidRPr="00D52DDD" w:rsidRDefault="00272DD2">
      <w:pPr>
        <w:jc w:val="both"/>
        <w:rPr>
          <w:i/>
          <w:sz w:val="22"/>
          <w:szCs w:val="22"/>
        </w:rPr>
      </w:pPr>
      <w:r w:rsidRPr="00D52DDD">
        <w:rPr>
          <w:b/>
          <w:sz w:val="22"/>
          <w:szCs w:val="22"/>
        </w:rPr>
        <w:t>Artículo 2.3.2.7.2. Ámbito de Aplicación.</w:t>
      </w:r>
      <w:r w:rsidRPr="00D52DDD">
        <w:rPr>
          <w:sz w:val="22"/>
          <w:szCs w:val="22"/>
        </w:rPr>
        <w:t xml:space="preserve"> “</w:t>
      </w:r>
      <w:r w:rsidRPr="00D52DDD">
        <w:rPr>
          <w:i/>
          <w:sz w:val="22"/>
          <w:szCs w:val="22"/>
        </w:rPr>
        <w:t>El presente capítulo aplica a las personas prestadoras de las actividades principales y complementarias del servicio público de aseo, a las entidades territoriales y al Ministerio de Vivienda, Ciudad y Territorio.”</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Artículo 2.3.2.7.5. Facturación del incentivo al Aprovechamiento y Tratamiento de Residuos Sólidos (IAT).</w:t>
      </w:r>
      <w:r w:rsidRPr="00D52DDD">
        <w:rPr>
          <w:sz w:val="22"/>
          <w:szCs w:val="22"/>
        </w:rPr>
        <w:t xml:space="preserve"> </w:t>
      </w:r>
      <w:r w:rsidRPr="00D52DDD">
        <w:rPr>
          <w:i/>
          <w:sz w:val="22"/>
          <w:szCs w:val="22"/>
        </w:rPr>
        <w:t>“La facturación del Incentivo al Aprovechamiento y Tratamiento de Residuos Sólidos (IAT) al suscriptor o usuario del servicio público de aseo será responsabilidad de la persona prestadora de la actividad de recolección y transporte de residuos no aprovechables.”</w:t>
      </w:r>
    </w:p>
    <w:p w:rsidR="008A790F" w:rsidRPr="00D52DDD" w:rsidRDefault="008A790F">
      <w:pPr>
        <w:jc w:val="both"/>
        <w:rPr>
          <w:sz w:val="22"/>
          <w:szCs w:val="22"/>
        </w:rPr>
      </w:pPr>
    </w:p>
    <w:p w:rsidR="008A790F" w:rsidRPr="00D52DDD" w:rsidRDefault="00272DD2">
      <w:pPr>
        <w:jc w:val="both"/>
        <w:rPr>
          <w:i/>
          <w:sz w:val="22"/>
          <w:szCs w:val="22"/>
        </w:rPr>
      </w:pPr>
      <w:r w:rsidRPr="00D52DDD">
        <w:rPr>
          <w:b/>
          <w:sz w:val="22"/>
          <w:szCs w:val="22"/>
        </w:rPr>
        <w:t>Parágrafo.</w:t>
      </w:r>
      <w:r w:rsidRPr="00D52DDD">
        <w:rPr>
          <w:i/>
          <w:sz w:val="22"/>
          <w:szCs w:val="22"/>
        </w:rPr>
        <w:t xml:space="preserve"> “Para el efecto, en el momento de liquidación de la tarifa final al suscriptor o usuario, el Valor del Incentivo al Aprovechamiento y Tratamiento de Residuos Sólidos, será adicionado al costo de disposición final en relleno sanitario calculado de conformidad con la metodología tarifaria vigente adoptada por la Comisión de Regulación de Agua Potable y Saneamiento Básico (CRA).”</w:t>
      </w:r>
    </w:p>
    <w:p w:rsidR="008A790F" w:rsidRPr="00D52DDD" w:rsidRDefault="008A790F">
      <w:pPr>
        <w:jc w:val="both"/>
        <w:rPr>
          <w:sz w:val="22"/>
          <w:szCs w:val="22"/>
        </w:rPr>
      </w:pPr>
    </w:p>
    <w:p w:rsidR="008A790F" w:rsidRPr="00D52DDD" w:rsidRDefault="008A790F">
      <w:pPr>
        <w:jc w:val="both"/>
        <w:rPr>
          <w:sz w:val="22"/>
          <w:szCs w:val="22"/>
        </w:rPr>
      </w:pPr>
    </w:p>
    <w:p w:rsidR="008A790F" w:rsidRPr="00D52DDD" w:rsidRDefault="008A790F">
      <w:pPr>
        <w:jc w:val="both"/>
        <w:rPr>
          <w:i/>
          <w:sz w:val="22"/>
          <w:szCs w:val="22"/>
        </w:rPr>
      </w:pPr>
    </w:p>
    <w:p w:rsidR="008A790F" w:rsidRPr="00D52DDD" w:rsidRDefault="00272DD2">
      <w:pPr>
        <w:jc w:val="both"/>
        <w:rPr>
          <w:b/>
          <w:sz w:val="22"/>
          <w:szCs w:val="22"/>
        </w:rPr>
      </w:pPr>
      <w:r w:rsidRPr="00D52DDD">
        <w:rPr>
          <w:b/>
          <w:sz w:val="22"/>
          <w:szCs w:val="22"/>
        </w:rPr>
        <w:t>RESOLUCIONES:</w:t>
      </w:r>
      <w:r w:rsidRPr="00D52DDD">
        <w:rPr>
          <w:b/>
          <w:sz w:val="22"/>
          <w:szCs w:val="22"/>
        </w:rPr>
        <w:br/>
      </w:r>
    </w:p>
    <w:p w:rsidR="008A790F" w:rsidRPr="00D52DDD" w:rsidRDefault="00272DD2">
      <w:pPr>
        <w:jc w:val="both"/>
        <w:rPr>
          <w:b/>
          <w:sz w:val="22"/>
          <w:szCs w:val="22"/>
        </w:rPr>
      </w:pPr>
      <w:r w:rsidRPr="00D52DDD">
        <w:rPr>
          <w:b/>
          <w:sz w:val="22"/>
          <w:szCs w:val="22"/>
        </w:rPr>
        <w:t xml:space="preserve">Resolución 2184 de 2019 </w:t>
      </w:r>
    </w:p>
    <w:p w:rsidR="008A790F" w:rsidRPr="00D52DDD" w:rsidRDefault="00272DD2">
      <w:pPr>
        <w:jc w:val="both"/>
        <w:rPr>
          <w:b/>
          <w:i/>
          <w:sz w:val="22"/>
          <w:szCs w:val="22"/>
        </w:rPr>
      </w:pPr>
      <w:r w:rsidRPr="00D52DDD">
        <w:rPr>
          <w:b/>
          <w:i/>
          <w:sz w:val="22"/>
          <w:szCs w:val="22"/>
        </w:rPr>
        <w:t>“Por la cual se modifica la resolución 668 de 2016 sobre el uso racional de bolsas plásticas y se adoptan otras disposiciones”</w:t>
      </w:r>
    </w:p>
    <w:p w:rsidR="008A790F" w:rsidRPr="00D52DDD" w:rsidRDefault="00272DD2">
      <w:pPr>
        <w:jc w:val="both"/>
        <w:rPr>
          <w:sz w:val="22"/>
          <w:szCs w:val="22"/>
        </w:rPr>
      </w:pPr>
      <w:r w:rsidRPr="00D52DDD">
        <w:rPr>
          <w:sz w:val="22"/>
          <w:szCs w:val="22"/>
        </w:rPr>
        <w:t>Las modificaciones que consagra la resolución recaen sobre la fomentación de la cultura ciudadana en relación con la separación, clasificación y presentación de residuos, donde se presenta una distribución de colores para la separación de residuos sólidos en la fuente en todo el territorio nacional, que dispone lo siguiente:</w:t>
      </w:r>
    </w:p>
    <w:p w:rsidR="008A790F" w:rsidRPr="00D52DDD" w:rsidRDefault="00272DD2">
      <w:pPr>
        <w:numPr>
          <w:ilvl w:val="0"/>
          <w:numId w:val="4"/>
        </w:numPr>
        <w:jc w:val="both"/>
        <w:rPr>
          <w:sz w:val="22"/>
          <w:szCs w:val="22"/>
        </w:rPr>
      </w:pPr>
      <w:r w:rsidRPr="00D52DDD">
        <w:rPr>
          <w:sz w:val="22"/>
          <w:szCs w:val="22"/>
        </w:rPr>
        <w:t>Color verde para depositar residuos orgánicos aprovechables</w:t>
      </w:r>
    </w:p>
    <w:p w:rsidR="008A790F" w:rsidRPr="00D52DDD" w:rsidRDefault="00272DD2">
      <w:pPr>
        <w:numPr>
          <w:ilvl w:val="0"/>
          <w:numId w:val="4"/>
        </w:numPr>
        <w:jc w:val="both"/>
        <w:rPr>
          <w:sz w:val="22"/>
          <w:szCs w:val="22"/>
        </w:rPr>
      </w:pPr>
      <w:r w:rsidRPr="00D52DDD">
        <w:rPr>
          <w:sz w:val="22"/>
          <w:szCs w:val="22"/>
        </w:rPr>
        <w:lastRenderedPageBreak/>
        <w:t>Color blanco para depositar los residuos aprovechables como plástico, vidrio, metales, multicapa, papel y cartón.</w:t>
      </w:r>
    </w:p>
    <w:p w:rsidR="008A790F" w:rsidRPr="00D52DDD" w:rsidRDefault="00272DD2">
      <w:pPr>
        <w:numPr>
          <w:ilvl w:val="0"/>
          <w:numId w:val="4"/>
        </w:numPr>
        <w:jc w:val="both"/>
        <w:rPr>
          <w:sz w:val="22"/>
          <w:szCs w:val="22"/>
        </w:rPr>
      </w:pPr>
      <w:r w:rsidRPr="00D52DDD">
        <w:rPr>
          <w:sz w:val="22"/>
          <w:szCs w:val="22"/>
        </w:rPr>
        <w:t>Color negro para depositar los residuos no aprovechables.</w:t>
      </w:r>
    </w:p>
    <w:p w:rsidR="008A790F" w:rsidRPr="00D52DDD" w:rsidRDefault="008A790F">
      <w:pPr>
        <w:ind w:left="720"/>
        <w:jc w:val="both"/>
        <w:rPr>
          <w:sz w:val="22"/>
          <w:szCs w:val="22"/>
        </w:rPr>
      </w:pPr>
    </w:p>
    <w:p w:rsidR="008A790F" w:rsidRPr="00D52DDD" w:rsidRDefault="00272DD2">
      <w:pPr>
        <w:jc w:val="both"/>
        <w:rPr>
          <w:sz w:val="22"/>
          <w:szCs w:val="22"/>
        </w:rPr>
      </w:pPr>
      <w:r w:rsidRPr="00D52DDD">
        <w:rPr>
          <w:sz w:val="22"/>
          <w:szCs w:val="22"/>
        </w:rPr>
        <w:t>Esto aplica para todos los municipios o distritos, quienes implementarán el código de colores para la presentación de los residuos sólidos en bolsas u otros recipientes, en el marco de los programas de aprovechamiento de residuos del servicio público de aseo, de acuerdo con lo establecido en los Planes de Gestión Integral de Residuos Sólidos (PGIRS).</w:t>
      </w:r>
    </w:p>
    <w:p w:rsidR="008A790F" w:rsidRPr="00D52DDD" w:rsidRDefault="008A790F">
      <w:pPr>
        <w:jc w:val="both"/>
        <w:rPr>
          <w:sz w:val="22"/>
          <w:szCs w:val="22"/>
        </w:rPr>
      </w:pPr>
    </w:p>
    <w:p w:rsidR="008A790F" w:rsidRPr="00D52DDD" w:rsidRDefault="008A790F">
      <w:pPr>
        <w:jc w:val="both"/>
        <w:rPr>
          <w:sz w:val="22"/>
          <w:szCs w:val="22"/>
        </w:rPr>
      </w:pPr>
    </w:p>
    <w:p w:rsidR="008A790F" w:rsidRPr="00D52DDD" w:rsidRDefault="00272DD2">
      <w:pPr>
        <w:jc w:val="both"/>
        <w:rPr>
          <w:b/>
          <w:sz w:val="22"/>
          <w:szCs w:val="22"/>
        </w:rPr>
      </w:pPr>
      <w:r w:rsidRPr="00D52DDD">
        <w:rPr>
          <w:b/>
          <w:sz w:val="22"/>
          <w:szCs w:val="22"/>
        </w:rPr>
        <w:t>ACUERDOS:</w:t>
      </w:r>
      <w:r w:rsidRPr="00D52DDD">
        <w:rPr>
          <w:b/>
          <w:sz w:val="22"/>
          <w:szCs w:val="22"/>
        </w:rPr>
        <w:br/>
      </w:r>
    </w:p>
    <w:p w:rsidR="008A790F" w:rsidRPr="00D52DDD" w:rsidRDefault="00272DD2">
      <w:pPr>
        <w:jc w:val="both"/>
        <w:rPr>
          <w:b/>
          <w:sz w:val="22"/>
          <w:szCs w:val="22"/>
        </w:rPr>
      </w:pPr>
      <w:r w:rsidRPr="00D52DDD">
        <w:rPr>
          <w:b/>
          <w:sz w:val="22"/>
          <w:szCs w:val="22"/>
        </w:rPr>
        <w:t>Acuerdo 257 DE 2006</w:t>
      </w:r>
    </w:p>
    <w:p w:rsidR="008A790F" w:rsidRPr="00D52DDD" w:rsidRDefault="00272DD2">
      <w:pPr>
        <w:jc w:val="both"/>
        <w:rPr>
          <w:b/>
          <w:i/>
          <w:sz w:val="22"/>
          <w:szCs w:val="22"/>
        </w:rPr>
      </w:pPr>
      <w:r w:rsidRPr="00D52DDD">
        <w:rPr>
          <w:b/>
          <w:i/>
          <w:sz w:val="22"/>
          <w:szCs w:val="22"/>
        </w:rPr>
        <w:t>“Por el cual se dictan normas básicas sobre la estructura, organización y funcionamiento de los organismos y de las entidades de Bogotá, Distrito Capital, y se expiden otras disposiciones”</w:t>
      </w:r>
    </w:p>
    <w:p w:rsidR="008A790F" w:rsidRPr="00D52DDD" w:rsidRDefault="008A790F">
      <w:pPr>
        <w:jc w:val="both"/>
        <w:rPr>
          <w:b/>
          <w:i/>
          <w:sz w:val="22"/>
          <w:szCs w:val="22"/>
        </w:rPr>
      </w:pPr>
    </w:p>
    <w:p w:rsidR="008A790F" w:rsidRPr="00D52DDD" w:rsidRDefault="00272DD2">
      <w:pPr>
        <w:jc w:val="both"/>
        <w:rPr>
          <w:i/>
          <w:sz w:val="22"/>
          <w:szCs w:val="22"/>
        </w:rPr>
      </w:pPr>
      <w:r w:rsidRPr="00D52DDD">
        <w:rPr>
          <w:b/>
          <w:sz w:val="22"/>
          <w:szCs w:val="22"/>
        </w:rPr>
        <w:t xml:space="preserve">Artículo 103. Naturaleza, objeto y funciones básicas de la Secretaría Distrital de Ambiente. </w:t>
      </w:r>
      <w:r w:rsidRPr="00D52DDD">
        <w:rPr>
          <w:b/>
          <w:i/>
          <w:sz w:val="22"/>
          <w:szCs w:val="22"/>
        </w:rPr>
        <w:t>“</w:t>
      </w:r>
      <w:r w:rsidRPr="00D52DDD">
        <w:rPr>
          <w:i/>
          <w:sz w:val="22"/>
          <w:szCs w:val="22"/>
        </w:rPr>
        <w:t>La Secretaría Distrital de Ambiente tiene las siguientes funciones básicas:</w:t>
      </w:r>
      <w:r w:rsidRPr="00D52DDD">
        <w:rPr>
          <w:i/>
          <w:sz w:val="22"/>
          <w:szCs w:val="22"/>
        </w:rPr>
        <w:br/>
      </w:r>
    </w:p>
    <w:p w:rsidR="008A790F" w:rsidRPr="00D52DDD" w:rsidRDefault="00272DD2">
      <w:pPr>
        <w:jc w:val="both"/>
        <w:rPr>
          <w:i/>
          <w:sz w:val="22"/>
          <w:szCs w:val="22"/>
        </w:rPr>
      </w:pPr>
      <w:r w:rsidRPr="00D52DDD">
        <w:rPr>
          <w:i/>
          <w:sz w:val="22"/>
          <w:szCs w:val="22"/>
        </w:rPr>
        <w:t>q. Realizar el control de vertimientos y emisiones contaminantes, disposición de desechos sólidos y desechos o residuos peligrosos y de residuos tóxicos, dictar las medidas de corrección o mitigación de daños ambientales y complementar la acción de la Empresa de Acueducto y Alcantarillado de Bogotá - EAAB- para desarrollar proyectos de saneamiento y descontaminación, en coordinación con la Unidad Administrativa Especial de Servicios Públicos.</w:t>
      </w:r>
    </w:p>
    <w:p w:rsidR="008A790F" w:rsidRPr="00D52DDD" w:rsidRDefault="008A790F">
      <w:pPr>
        <w:jc w:val="both"/>
        <w:rPr>
          <w:i/>
          <w:sz w:val="22"/>
          <w:szCs w:val="22"/>
        </w:rPr>
      </w:pPr>
    </w:p>
    <w:p w:rsidR="0038389E" w:rsidRDefault="00272DD2">
      <w:pPr>
        <w:jc w:val="both"/>
        <w:rPr>
          <w:i/>
          <w:sz w:val="22"/>
          <w:szCs w:val="22"/>
        </w:rPr>
      </w:pPr>
      <w:r w:rsidRPr="00D52DDD">
        <w:rPr>
          <w:i/>
          <w:sz w:val="22"/>
          <w:szCs w:val="22"/>
        </w:rPr>
        <w:t>5. La elaboración y diseño de políticas referidas a la movilidad, la prevención de desastres, la disposición y manejo integral de residuos sólidos y el manejo del recurso hídrico en el Distrito Capital, en coordinación con las entidades distritales responsables en cada una de estas materias.”</w:t>
      </w:r>
    </w:p>
    <w:p w:rsidR="008A790F" w:rsidRPr="00D52DDD" w:rsidRDefault="008A790F">
      <w:pPr>
        <w:jc w:val="both"/>
        <w:rPr>
          <w:sz w:val="22"/>
          <w:szCs w:val="22"/>
        </w:rPr>
      </w:pPr>
    </w:p>
    <w:p w:rsidR="008A790F" w:rsidRPr="00D52DDD" w:rsidRDefault="00272DD2">
      <w:pPr>
        <w:jc w:val="both"/>
        <w:rPr>
          <w:b/>
          <w:sz w:val="22"/>
          <w:szCs w:val="22"/>
        </w:rPr>
      </w:pPr>
      <w:r w:rsidRPr="00D52DDD">
        <w:rPr>
          <w:sz w:val="22"/>
          <w:szCs w:val="22"/>
        </w:rPr>
        <w:br/>
      </w:r>
      <w:r w:rsidRPr="00D52DDD">
        <w:rPr>
          <w:b/>
          <w:sz w:val="22"/>
          <w:szCs w:val="22"/>
        </w:rPr>
        <w:t>Acuerdo 927 de 2024</w:t>
      </w:r>
    </w:p>
    <w:p w:rsidR="008A790F" w:rsidRPr="00D52DDD" w:rsidRDefault="00272DD2">
      <w:pPr>
        <w:jc w:val="both"/>
        <w:rPr>
          <w:b/>
          <w:i/>
          <w:sz w:val="22"/>
          <w:szCs w:val="22"/>
        </w:rPr>
      </w:pPr>
      <w:r w:rsidRPr="00D52DDD">
        <w:rPr>
          <w:b/>
          <w:i/>
          <w:sz w:val="22"/>
          <w:szCs w:val="22"/>
        </w:rPr>
        <w:t>“Por medio del cual se adopta el plan de desarrollo económico, social, ambiental y de obras públicas del distrito capital 2024-2027 “Bogotá Camina Segura”</w:t>
      </w:r>
    </w:p>
    <w:p w:rsidR="008A790F" w:rsidRPr="00D52DDD" w:rsidRDefault="008A790F">
      <w:pPr>
        <w:jc w:val="both"/>
        <w:rPr>
          <w:b/>
          <w:sz w:val="22"/>
          <w:szCs w:val="22"/>
        </w:rPr>
      </w:pPr>
    </w:p>
    <w:p w:rsidR="008A790F" w:rsidRPr="00D52DDD" w:rsidRDefault="00272DD2">
      <w:pPr>
        <w:jc w:val="both"/>
        <w:rPr>
          <w:sz w:val="22"/>
          <w:szCs w:val="22"/>
        </w:rPr>
      </w:pPr>
      <w:r w:rsidRPr="00D52DDD">
        <w:rPr>
          <w:b/>
          <w:sz w:val="22"/>
          <w:szCs w:val="22"/>
        </w:rPr>
        <w:t>Artículo 152. Sostenibilidad y Circularidad de los servicios públicos en Bogotá:</w:t>
      </w:r>
      <w:r w:rsidRPr="00D52DDD">
        <w:rPr>
          <w:i/>
          <w:sz w:val="22"/>
          <w:szCs w:val="22"/>
        </w:rPr>
        <w:t xml:space="preserve"> “</w:t>
      </w:r>
      <w:r w:rsidRPr="00D52DDD">
        <w:rPr>
          <w:sz w:val="22"/>
          <w:szCs w:val="22"/>
        </w:rPr>
        <w:t>(...)</w:t>
      </w:r>
      <w:r w:rsidRPr="00D52DDD">
        <w:rPr>
          <w:b/>
          <w:sz w:val="22"/>
          <w:szCs w:val="22"/>
        </w:rPr>
        <w:t xml:space="preserve">Parágrafo 4. </w:t>
      </w:r>
      <w:r w:rsidRPr="00D52DDD">
        <w:rPr>
          <w:i/>
          <w:sz w:val="22"/>
          <w:szCs w:val="22"/>
        </w:rPr>
        <w:t>Se contemplará la selección de una alternativa para la prestación de los servicios públicos domiciliarios involucrando actores regionales, a las autoridades ambientales competentes, con el fin de contribuir en la garantía de largo plazo en el abastecimiento de agua, el tratamiento de aguas residuales y la gestión integral de residuos sólidos, encaminadas en el aprovechamiento y valorización mediante la implementación de acciones que eliminen el enterramiento de los residuos e innove en tecnologías limpias que generen subproductos, en la búsqueda de equilibrar y mitigar los impactos ambientales y sociales de los municipios de la región metropolitana”</w:t>
      </w:r>
    </w:p>
    <w:p w:rsidR="008A790F" w:rsidRPr="00D52DDD" w:rsidRDefault="008A790F">
      <w:pPr>
        <w:jc w:val="both"/>
        <w:rPr>
          <w:sz w:val="22"/>
          <w:szCs w:val="22"/>
        </w:rPr>
      </w:pPr>
    </w:p>
    <w:p w:rsidR="008A790F" w:rsidRPr="00D52DDD" w:rsidRDefault="008A790F">
      <w:pPr>
        <w:jc w:val="both"/>
        <w:rPr>
          <w:sz w:val="22"/>
          <w:szCs w:val="22"/>
        </w:rPr>
      </w:pPr>
    </w:p>
    <w:p w:rsidR="008A790F" w:rsidRPr="00D52DDD" w:rsidRDefault="008A790F">
      <w:pPr>
        <w:jc w:val="both"/>
        <w:rPr>
          <w:b/>
          <w:sz w:val="22"/>
          <w:szCs w:val="22"/>
        </w:rPr>
      </w:pPr>
    </w:p>
    <w:p w:rsidR="008A790F" w:rsidRPr="00D52DDD" w:rsidRDefault="00272DD2">
      <w:pPr>
        <w:jc w:val="both"/>
        <w:rPr>
          <w:b/>
          <w:sz w:val="22"/>
          <w:szCs w:val="22"/>
        </w:rPr>
      </w:pPr>
      <w:r w:rsidRPr="00D52DDD">
        <w:rPr>
          <w:b/>
          <w:sz w:val="22"/>
          <w:szCs w:val="22"/>
        </w:rPr>
        <w:t>5.- IMPACTO FISCAL</w:t>
      </w:r>
    </w:p>
    <w:p w:rsidR="008A790F" w:rsidRPr="00D52DDD" w:rsidRDefault="008A790F">
      <w:pPr>
        <w:jc w:val="both"/>
        <w:rPr>
          <w:b/>
          <w:sz w:val="22"/>
          <w:szCs w:val="22"/>
        </w:rPr>
      </w:pPr>
    </w:p>
    <w:p w:rsidR="008A790F" w:rsidRDefault="00272DD2" w:rsidP="00AA2B66">
      <w:pPr>
        <w:ind w:right="79"/>
        <w:jc w:val="both"/>
        <w:rPr>
          <w:sz w:val="22"/>
          <w:szCs w:val="22"/>
        </w:rPr>
      </w:pPr>
      <w:r w:rsidRPr="00D52DDD">
        <w:rPr>
          <w:sz w:val="22"/>
          <w:szCs w:val="22"/>
        </w:rPr>
        <w:t>En cumplimiento con lo establecido en el artículo 7º de la Ley 819 de 2003, en el Decreto Ley 1421 de 1993 y el reglamento interno del Concejo Distrital; la presente iniciativa no genera un impacto fiscal que implique una modificación en el marco fiscal de mediano plazo, toda vez que no se incrementará el Presupuesto del Distrito, ni ocasionará la creación de una nueva fuente de financiación.</w:t>
      </w:r>
    </w:p>
    <w:p w:rsidR="00AA2B66" w:rsidRPr="00D52DDD" w:rsidRDefault="00AA2B66" w:rsidP="00AA2B66">
      <w:pPr>
        <w:ind w:right="79"/>
        <w:jc w:val="both"/>
        <w:rPr>
          <w:sz w:val="22"/>
          <w:szCs w:val="22"/>
        </w:rPr>
      </w:pPr>
    </w:p>
    <w:p w:rsidR="008A790F" w:rsidRPr="00D52DDD" w:rsidRDefault="00272DD2">
      <w:pPr>
        <w:spacing w:after="160"/>
        <w:jc w:val="both"/>
        <w:rPr>
          <w:sz w:val="22"/>
          <w:szCs w:val="22"/>
        </w:rPr>
      </w:pPr>
      <w:r w:rsidRPr="00D52DDD">
        <w:rPr>
          <w:sz w:val="22"/>
          <w:szCs w:val="22"/>
        </w:rPr>
        <w:t>No obstante, lo anterior, la Corte Constitucional en Sentencia C-911 de 2007 puntualizó que el impacto fiscal de las normas no puede convertirse en óbice para que las corporaciones públicas ejerzan su función legislativa y normativa.</w:t>
      </w:r>
    </w:p>
    <w:p w:rsidR="008A790F" w:rsidRPr="00D52DDD" w:rsidRDefault="008A790F">
      <w:pPr>
        <w:spacing w:after="160"/>
        <w:jc w:val="both"/>
        <w:rPr>
          <w:sz w:val="22"/>
          <w:szCs w:val="22"/>
        </w:rPr>
      </w:pPr>
    </w:p>
    <w:p w:rsidR="008A790F" w:rsidRPr="00D52DDD" w:rsidRDefault="00272DD2">
      <w:pPr>
        <w:spacing w:after="160"/>
        <w:jc w:val="both"/>
        <w:rPr>
          <w:b/>
          <w:sz w:val="22"/>
          <w:szCs w:val="22"/>
        </w:rPr>
      </w:pPr>
      <w:r w:rsidRPr="00D52DDD">
        <w:rPr>
          <w:b/>
          <w:sz w:val="22"/>
          <w:szCs w:val="22"/>
        </w:rPr>
        <w:t>6.- COMPETENCIA DEL CONCEJO DE BOGOTÁ</w:t>
      </w:r>
    </w:p>
    <w:p w:rsidR="008A790F" w:rsidRPr="00D52DDD" w:rsidRDefault="00272DD2">
      <w:pPr>
        <w:spacing w:after="160" w:line="259" w:lineRule="auto"/>
        <w:jc w:val="both"/>
        <w:rPr>
          <w:i/>
          <w:sz w:val="22"/>
          <w:szCs w:val="22"/>
        </w:rPr>
      </w:pPr>
      <w:r w:rsidRPr="00D52DDD">
        <w:rPr>
          <w:sz w:val="22"/>
          <w:szCs w:val="22"/>
        </w:rPr>
        <w:t xml:space="preserve">En concordancia con las disposiciones legales vigentes, en la Constitución Política de Colombia en su Artículo 313 se establece que corresponde a los Concejos: </w:t>
      </w:r>
      <w:r w:rsidRPr="00D52DDD">
        <w:rPr>
          <w:i/>
          <w:sz w:val="22"/>
          <w:szCs w:val="22"/>
        </w:rPr>
        <w:t>“4. Reglamentar las funciones y la eficiente prestación de los servicios a cargo del municipio”.</w:t>
      </w:r>
    </w:p>
    <w:p w:rsidR="008A790F" w:rsidRPr="00D52DDD" w:rsidRDefault="00272DD2">
      <w:pPr>
        <w:spacing w:after="160" w:line="259" w:lineRule="auto"/>
        <w:jc w:val="both"/>
        <w:rPr>
          <w:i/>
          <w:sz w:val="22"/>
          <w:szCs w:val="22"/>
        </w:rPr>
      </w:pPr>
      <w:r w:rsidRPr="00D52DDD">
        <w:rPr>
          <w:sz w:val="22"/>
          <w:szCs w:val="22"/>
        </w:rPr>
        <w:t xml:space="preserve">En las atribuciones conferidas por el Decreto Ley 1421 de 1993 – Estatuto Orgánico de Bogotá en su artículo 12, le corresponde al Cabildo Distrital: </w:t>
      </w:r>
      <w:r w:rsidRPr="00D52DDD">
        <w:rPr>
          <w:i/>
          <w:sz w:val="22"/>
          <w:szCs w:val="22"/>
        </w:rPr>
        <w:t>“1. Dictar las normas necesarias para garantizar el adecuado cumplimiento de las funciones y la eficiente prestación de los servicios a cargo del Distrito (…)”.</w:t>
      </w:r>
    </w:p>
    <w:p w:rsidR="008A790F" w:rsidRPr="00D52DDD" w:rsidRDefault="00272DD2">
      <w:pPr>
        <w:spacing w:after="160" w:line="259" w:lineRule="auto"/>
        <w:jc w:val="both"/>
        <w:rPr>
          <w:sz w:val="22"/>
          <w:szCs w:val="22"/>
        </w:rPr>
      </w:pPr>
      <w:r w:rsidRPr="00D52DDD">
        <w:rPr>
          <w:sz w:val="22"/>
          <w:szCs w:val="22"/>
        </w:rPr>
        <w:t xml:space="preserve">Es así como este Concejo tiene las competencias para presentar este proyecto de acuerdo como iniciativa propia de los concejales, para estudiarlo y aprobarlo, ya que no hace parte de las temáticas o propuestas que sólo pueden ser dictadas o reformadas a iniciativa </w:t>
      </w:r>
      <w:proofErr w:type="gramStart"/>
      <w:r w:rsidRPr="00D52DDD">
        <w:rPr>
          <w:sz w:val="22"/>
          <w:szCs w:val="22"/>
        </w:rPr>
        <w:t>del  alcalde</w:t>
      </w:r>
      <w:proofErr w:type="gramEnd"/>
      <w:r w:rsidRPr="00D52DDD">
        <w:rPr>
          <w:sz w:val="22"/>
          <w:szCs w:val="22"/>
        </w:rPr>
        <w:t xml:space="preserve"> mayor.</w:t>
      </w:r>
    </w:p>
    <w:p w:rsidR="008A790F" w:rsidRPr="00D52DDD" w:rsidRDefault="008A790F">
      <w:pPr>
        <w:spacing w:after="160" w:line="259" w:lineRule="auto"/>
        <w:jc w:val="both"/>
        <w:rPr>
          <w:sz w:val="22"/>
          <w:szCs w:val="22"/>
        </w:rPr>
      </w:pPr>
    </w:p>
    <w:p w:rsidR="008A790F" w:rsidRPr="00D52DDD" w:rsidRDefault="00272DD2">
      <w:pPr>
        <w:spacing w:after="160" w:line="259" w:lineRule="auto"/>
        <w:jc w:val="both"/>
        <w:rPr>
          <w:sz w:val="22"/>
          <w:szCs w:val="22"/>
        </w:rPr>
      </w:pPr>
      <w:r w:rsidRPr="00D52DDD">
        <w:rPr>
          <w:b/>
          <w:sz w:val="22"/>
          <w:szCs w:val="22"/>
        </w:rPr>
        <w:t>REFERENCIAS</w:t>
      </w:r>
    </w:p>
    <w:p w:rsidR="008A790F" w:rsidRPr="00D52DDD" w:rsidRDefault="00272DD2">
      <w:pPr>
        <w:spacing w:after="160"/>
        <w:ind w:left="720"/>
        <w:jc w:val="both"/>
        <w:rPr>
          <w:sz w:val="22"/>
          <w:szCs w:val="22"/>
        </w:rPr>
      </w:pPr>
      <w:r w:rsidRPr="00D52DDD">
        <w:rPr>
          <w:sz w:val="22"/>
          <w:szCs w:val="22"/>
        </w:rPr>
        <w:t xml:space="preserve">Acuerdo No. 726 de 2018 [Concejo de Bogotá]. Por medio del cual se implementan medidas que promuevan la cultura de la gestión de residuos sólidos en el Distrito Capital. 17 de diciembre de 2018.  </w:t>
      </w:r>
    </w:p>
    <w:p w:rsidR="008A790F" w:rsidRPr="00D52DDD" w:rsidRDefault="00272DD2">
      <w:pPr>
        <w:spacing w:after="160"/>
        <w:ind w:left="720"/>
        <w:jc w:val="both"/>
        <w:rPr>
          <w:sz w:val="22"/>
          <w:szCs w:val="22"/>
        </w:rPr>
      </w:pPr>
      <w:r w:rsidRPr="00D52DDD">
        <w:rPr>
          <w:sz w:val="22"/>
          <w:szCs w:val="22"/>
        </w:rPr>
        <w:t xml:space="preserve">Álvarez, et al. (2021). Rellenos sanitarios en Colombia, ¿una solución o un problema? [Trabajo de </w:t>
      </w:r>
      <w:proofErr w:type="gramStart"/>
      <w:r w:rsidRPr="00D52DDD">
        <w:rPr>
          <w:sz w:val="22"/>
          <w:szCs w:val="22"/>
        </w:rPr>
        <w:t>grado,  Universidad</w:t>
      </w:r>
      <w:proofErr w:type="gramEnd"/>
      <w:r w:rsidRPr="00D52DDD">
        <w:rPr>
          <w:sz w:val="22"/>
          <w:szCs w:val="22"/>
        </w:rPr>
        <w:t xml:space="preserve"> CES]. Repositorio Institucional - Universidad CES</w:t>
      </w:r>
    </w:p>
    <w:p w:rsidR="008A790F" w:rsidRPr="00D52DDD" w:rsidRDefault="00272DD2">
      <w:pPr>
        <w:spacing w:after="160"/>
        <w:ind w:left="720"/>
        <w:jc w:val="both"/>
        <w:rPr>
          <w:sz w:val="22"/>
          <w:szCs w:val="22"/>
        </w:rPr>
      </w:pPr>
      <w:r w:rsidRPr="00D52DDD">
        <w:rPr>
          <w:sz w:val="22"/>
          <w:szCs w:val="22"/>
        </w:rPr>
        <w:t xml:space="preserve">Decreto 4741 de 2005 [Presidente de la República]. Por el cual se reglamenta parcialmente la prevención y el manejo de los residuos o desechos peligrosos generados en el marco de la gestión integral. 30 de diciembre de 2005. </w:t>
      </w:r>
    </w:p>
    <w:p w:rsidR="008A790F" w:rsidRPr="00D52DDD" w:rsidRDefault="00272DD2">
      <w:pPr>
        <w:spacing w:after="160"/>
        <w:ind w:left="720"/>
        <w:jc w:val="both"/>
        <w:rPr>
          <w:sz w:val="22"/>
          <w:szCs w:val="22"/>
        </w:rPr>
      </w:pPr>
      <w:r w:rsidRPr="00D52DDD">
        <w:rPr>
          <w:sz w:val="22"/>
          <w:szCs w:val="22"/>
        </w:rPr>
        <w:lastRenderedPageBreak/>
        <w:t>Decreto 2981 de 2013 [Presidente de la República]. Por el cual se reglamenta la prestación del servicio público de aseo. 20 de diciembre de 2013.</w:t>
      </w:r>
    </w:p>
    <w:p w:rsidR="008A790F" w:rsidRPr="00D52DDD" w:rsidRDefault="00272DD2">
      <w:pPr>
        <w:spacing w:after="160"/>
        <w:ind w:left="720"/>
        <w:jc w:val="both"/>
        <w:rPr>
          <w:sz w:val="22"/>
          <w:szCs w:val="22"/>
        </w:rPr>
      </w:pPr>
      <w:r w:rsidRPr="00D52DDD">
        <w:rPr>
          <w:sz w:val="22"/>
          <w:szCs w:val="22"/>
        </w:rPr>
        <w:t>Decreto 349 de 2014 [Alcalde Mayor de Bogotá]. Por el cual se reglamenta la imposición y aplicación del Comparendo Ambiental en el Distrito Capital. 27 de agosto de 2014.</w:t>
      </w:r>
    </w:p>
    <w:p w:rsidR="008A790F" w:rsidRPr="00D52DDD" w:rsidRDefault="00272DD2">
      <w:pPr>
        <w:spacing w:after="160"/>
        <w:ind w:left="720"/>
        <w:jc w:val="both"/>
        <w:rPr>
          <w:sz w:val="22"/>
          <w:szCs w:val="22"/>
        </w:rPr>
      </w:pPr>
      <w:r w:rsidRPr="00D52DDD">
        <w:rPr>
          <w:sz w:val="22"/>
          <w:szCs w:val="22"/>
        </w:rPr>
        <w:t>Decreto 351 de 2014 [Presidente de la República]. Por el cual se reglamenta la gestión integral de los residuos generados en la atención en salud y otras actividades. 19 de febrero de 2014.</w:t>
      </w:r>
    </w:p>
    <w:p w:rsidR="008A790F" w:rsidRPr="00D52DDD" w:rsidRDefault="00272DD2">
      <w:pPr>
        <w:spacing w:after="160"/>
        <w:ind w:left="720"/>
        <w:jc w:val="both"/>
        <w:rPr>
          <w:sz w:val="22"/>
          <w:szCs w:val="22"/>
        </w:rPr>
      </w:pPr>
      <w:r w:rsidRPr="00D52DDD">
        <w:rPr>
          <w:sz w:val="22"/>
          <w:szCs w:val="22"/>
        </w:rPr>
        <w:t>Decreto 345 de 2020 [Alcaldesa Mayor de Bogotá]. Por el cual se adopta la actualización del Plan de Gestión Integral de Residuos Sólidos – PGIRS- del Distrito Capital, y se dictan otras disposiciones. 31 de diciembre de 2020.</w:t>
      </w:r>
    </w:p>
    <w:p w:rsidR="008A790F" w:rsidRPr="00D52DDD" w:rsidRDefault="00272DD2">
      <w:pPr>
        <w:spacing w:after="160"/>
        <w:ind w:left="720"/>
        <w:jc w:val="both"/>
        <w:rPr>
          <w:sz w:val="22"/>
          <w:szCs w:val="22"/>
        </w:rPr>
      </w:pPr>
      <w:r w:rsidRPr="00D52DDD">
        <w:rPr>
          <w:sz w:val="22"/>
          <w:szCs w:val="22"/>
        </w:rPr>
        <w:t>Decreto 802 de 2022 [Presidente de la República]. Por el cual se sustituye el capítulo 7, al título 2, de la parte 3, del libro 2, del Decreto Único Reglamentario del Sector Vivienda, Ciudad y Territorio, Decreto 1077 del 26 de mayo de 2015, que reglamenta parcialmente el artículo 88 de la Ley 1753 de 2015, en lo referente al incentivo al aprovechamiento de residuos sólidos y se dictan otras disposiciones. 16 de mayo de 2022.</w:t>
      </w:r>
    </w:p>
    <w:p w:rsidR="008A790F" w:rsidRPr="00D52DDD" w:rsidRDefault="00272DD2">
      <w:pPr>
        <w:spacing w:after="160"/>
        <w:ind w:left="720"/>
        <w:jc w:val="both"/>
        <w:rPr>
          <w:sz w:val="22"/>
          <w:szCs w:val="22"/>
        </w:rPr>
      </w:pPr>
      <w:r w:rsidRPr="00D52DDD">
        <w:rPr>
          <w:sz w:val="22"/>
          <w:szCs w:val="22"/>
        </w:rPr>
        <w:t xml:space="preserve">Departamento Administrativo Nacional de Estadística. (2023). Cuenta ambiental y económica de flujos de materiales de residuos sólidos (CAEFM-RS) 2020 provisional – 2021 provisional. </w:t>
      </w:r>
      <w:hyperlink r:id="rId13">
        <w:r w:rsidRPr="00D52DDD">
          <w:rPr>
            <w:sz w:val="22"/>
            <w:szCs w:val="22"/>
            <w:u w:val="single"/>
          </w:rPr>
          <w:t>https://www.dane.gov.co/files/operaciones/CAEFM-RS/bol-CAEFMRS-2021pr.pdf</w:t>
        </w:r>
      </w:hyperlink>
      <w:r w:rsidRPr="00D52DDD">
        <w:rPr>
          <w:sz w:val="22"/>
          <w:szCs w:val="22"/>
        </w:rPr>
        <w:t xml:space="preserve">  </w:t>
      </w:r>
    </w:p>
    <w:p w:rsidR="008A790F" w:rsidRPr="00D52DDD" w:rsidRDefault="00272DD2">
      <w:pPr>
        <w:spacing w:after="160"/>
        <w:ind w:left="720"/>
        <w:jc w:val="both"/>
        <w:rPr>
          <w:sz w:val="22"/>
          <w:szCs w:val="22"/>
        </w:rPr>
      </w:pPr>
      <w:r w:rsidRPr="00D52DDD">
        <w:rPr>
          <w:sz w:val="22"/>
          <w:szCs w:val="22"/>
        </w:rPr>
        <w:t xml:space="preserve">Instituto Colombiano de Normas Técnicas y Certificación. (2009). Gestión ambiental. Residuos sólidos. Guía para la separación en la fuente (GTC 24). </w:t>
      </w:r>
      <w:hyperlink r:id="rId14">
        <w:r w:rsidRPr="00D52DDD">
          <w:rPr>
            <w:sz w:val="22"/>
            <w:szCs w:val="22"/>
            <w:u w:val="single"/>
          </w:rPr>
          <w:t>https://tienex.co/media/b096d37fcdee87a1f193271978cc2965.pdf</w:t>
        </w:r>
      </w:hyperlink>
      <w:r w:rsidRPr="00D52DDD">
        <w:rPr>
          <w:sz w:val="22"/>
          <w:szCs w:val="22"/>
        </w:rPr>
        <w:t xml:space="preserve"> </w:t>
      </w:r>
    </w:p>
    <w:p w:rsidR="008A790F" w:rsidRPr="00D52DDD" w:rsidRDefault="00272DD2">
      <w:pPr>
        <w:spacing w:after="160"/>
        <w:ind w:left="720"/>
        <w:jc w:val="both"/>
        <w:rPr>
          <w:sz w:val="22"/>
          <w:szCs w:val="22"/>
        </w:rPr>
      </w:pPr>
      <w:r w:rsidRPr="00D52DDD">
        <w:rPr>
          <w:sz w:val="22"/>
          <w:szCs w:val="22"/>
        </w:rPr>
        <w:t xml:space="preserve">Ley 99 de 1993 [Congreso de Colombia]. Por la cual se crea el Ministerio del Medio Ambiente, se reordena el Sector Público encargado de la gestión y conservación del medio ambiente y los recursos naturales renovables, se organiza el Sistema Nacional Ambiental, SINA, y se dictan otras disposiciones. 22 de diciembre de 1993  </w:t>
      </w:r>
    </w:p>
    <w:p w:rsidR="008A790F" w:rsidRPr="00D52DDD" w:rsidRDefault="00272DD2">
      <w:pPr>
        <w:spacing w:after="160"/>
        <w:ind w:left="720"/>
        <w:jc w:val="both"/>
        <w:rPr>
          <w:sz w:val="22"/>
          <w:szCs w:val="22"/>
        </w:rPr>
      </w:pPr>
      <w:r w:rsidRPr="00D52DDD">
        <w:rPr>
          <w:sz w:val="22"/>
          <w:szCs w:val="22"/>
        </w:rPr>
        <w:t>Ley 1333 de 2009 [Congreso de Colombia]. Por la cual se establece el procedimiento sancionatorio ambiental y se dictan otras disposiciones. 21 de julio de 2009.</w:t>
      </w:r>
      <w:r w:rsidRPr="00D52DDD">
        <w:rPr>
          <w:sz w:val="22"/>
          <w:szCs w:val="22"/>
        </w:rPr>
        <w:br/>
      </w:r>
    </w:p>
    <w:p w:rsidR="008A790F" w:rsidRPr="00D52DDD" w:rsidRDefault="00272DD2">
      <w:pPr>
        <w:spacing w:after="160"/>
        <w:ind w:left="720"/>
        <w:jc w:val="both"/>
        <w:rPr>
          <w:sz w:val="22"/>
          <w:szCs w:val="22"/>
        </w:rPr>
      </w:pPr>
      <w:r w:rsidRPr="00D52DDD">
        <w:rPr>
          <w:sz w:val="22"/>
          <w:szCs w:val="22"/>
        </w:rPr>
        <w:t>Ley 1801 de 2016 [Congreso de Colombia]. Por la cual se expide el Código Nacional de Seguridad y Convivencia Ciudadana. 29 de julio de 2016.</w:t>
      </w:r>
    </w:p>
    <w:p w:rsidR="008A790F" w:rsidRPr="00D52DDD" w:rsidRDefault="00272DD2">
      <w:pPr>
        <w:spacing w:after="160"/>
        <w:ind w:left="720"/>
        <w:jc w:val="both"/>
        <w:rPr>
          <w:sz w:val="22"/>
          <w:szCs w:val="22"/>
        </w:rPr>
      </w:pPr>
      <w:r w:rsidRPr="00D52DDD">
        <w:rPr>
          <w:sz w:val="22"/>
          <w:szCs w:val="22"/>
        </w:rPr>
        <w:t xml:space="preserve">Programa de las Naciones Unidas para el Medio Ambiente. (2024). Global </w:t>
      </w:r>
      <w:proofErr w:type="spellStart"/>
      <w:r w:rsidRPr="00D52DDD">
        <w:rPr>
          <w:sz w:val="22"/>
          <w:szCs w:val="22"/>
        </w:rPr>
        <w:t>Waste</w:t>
      </w:r>
      <w:proofErr w:type="spellEnd"/>
      <w:r w:rsidRPr="00D52DDD">
        <w:rPr>
          <w:sz w:val="22"/>
          <w:szCs w:val="22"/>
        </w:rPr>
        <w:t xml:space="preserve"> Management Outlook 2024. </w:t>
      </w:r>
      <w:hyperlink r:id="rId15">
        <w:r w:rsidRPr="00D52DDD">
          <w:rPr>
            <w:sz w:val="22"/>
            <w:szCs w:val="22"/>
            <w:u w:val="single"/>
          </w:rPr>
          <w:t>https://wedocs.unep.org/bitstream/handle/20.500.11822/44939/global_waste_management_outlook_2024.pdf?sequence=1&amp;isAllowed=y</w:t>
        </w:r>
      </w:hyperlink>
      <w:r w:rsidRPr="00D52DDD">
        <w:rPr>
          <w:sz w:val="22"/>
          <w:szCs w:val="22"/>
        </w:rPr>
        <w:t xml:space="preserve">  </w:t>
      </w:r>
    </w:p>
    <w:p w:rsidR="008A790F" w:rsidRPr="00D52DDD" w:rsidRDefault="00272DD2">
      <w:pPr>
        <w:spacing w:after="160"/>
        <w:ind w:left="720"/>
        <w:jc w:val="both"/>
        <w:rPr>
          <w:sz w:val="22"/>
          <w:szCs w:val="22"/>
        </w:rPr>
      </w:pPr>
      <w:r w:rsidRPr="00D52DDD">
        <w:rPr>
          <w:sz w:val="22"/>
          <w:szCs w:val="22"/>
        </w:rPr>
        <w:lastRenderedPageBreak/>
        <w:t>Proyecto de Acuerdo N°. 156 de 2016 [Concejo de Bogotá]. Por el cual se establece el objetivo basura cero como lineamiento de las políticas distritales sobre el manejo y gestión de los residuos sólidos en el Distrito Capital. 2016.</w:t>
      </w:r>
    </w:p>
    <w:p w:rsidR="008A790F" w:rsidRPr="00D52DDD" w:rsidRDefault="00272DD2">
      <w:pPr>
        <w:spacing w:after="160"/>
        <w:ind w:left="720"/>
        <w:jc w:val="both"/>
        <w:rPr>
          <w:sz w:val="22"/>
          <w:szCs w:val="22"/>
        </w:rPr>
      </w:pPr>
      <w:r w:rsidRPr="00D52DDD">
        <w:rPr>
          <w:sz w:val="22"/>
          <w:szCs w:val="22"/>
        </w:rPr>
        <w:t xml:space="preserve">Resolución No. 2184 de 2019 [Ministerio de Ambiente y Desarrollo Sostenible]. Por la cual se modifica la Resolución 668 de 2016 sobre uso racional de bolsas plásticas y se adoptan otras disposiciones. 26 de diciembre de 2019. </w:t>
      </w:r>
    </w:p>
    <w:p w:rsidR="008A790F" w:rsidRPr="00D52DDD" w:rsidRDefault="00272DD2">
      <w:pPr>
        <w:spacing w:after="160"/>
        <w:ind w:left="720"/>
        <w:jc w:val="both"/>
        <w:rPr>
          <w:sz w:val="22"/>
          <w:szCs w:val="22"/>
        </w:rPr>
      </w:pPr>
      <w:r w:rsidRPr="00D52DDD">
        <w:rPr>
          <w:sz w:val="22"/>
          <w:szCs w:val="22"/>
        </w:rPr>
        <w:t xml:space="preserve">Resolución No. 1257 de 2021 [Ministerio de Ambiente y Desarrollo Sostenible]. Por la cual se modifica la Resolución 0472 de 2017 sobre la gestión integral de Residuos de Construcción y Demolición (RCD) y se adoptan otras disposiciones. 23 de diciembre de 2021. </w:t>
      </w:r>
    </w:p>
    <w:p w:rsidR="008A790F" w:rsidRPr="00D52DDD" w:rsidRDefault="00272DD2">
      <w:pPr>
        <w:spacing w:after="160"/>
        <w:ind w:left="720"/>
        <w:jc w:val="both"/>
        <w:rPr>
          <w:sz w:val="22"/>
          <w:szCs w:val="22"/>
        </w:rPr>
      </w:pPr>
      <w:r w:rsidRPr="00D52DDD">
        <w:rPr>
          <w:sz w:val="22"/>
          <w:szCs w:val="22"/>
        </w:rPr>
        <w:t xml:space="preserve">Resolución No. 0851 de 2022 [Ministerio de Ambiente y Desarrollo Sostenible]. Por la cual se desarrollan los artículos 2.2.7A.1.3, 2.2.7A.2.1, el numeral 3.1 del artículo 2.2.7A.2.2, el numeral 3 del artículo 2.2.7A.2.4, el artículo 2.2.7A.4.2 y el artículo 2.2.7A.4.4 del Título 7A del Decreto 1076 de 2015 - Decreto Único Reglamentario del Sector Ambiente y Desarrollo Sostenible sobre la gestión de los residuos de aparatos eléctricos y electrónicos (RAEE) y se dictan otras disposiciones. 5 de agosto de 2022    </w:t>
      </w:r>
    </w:p>
    <w:p w:rsidR="008A790F" w:rsidRPr="00D52DDD" w:rsidRDefault="00272DD2">
      <w:pPr>
        <w:spacing w:after="160"/>
        <w:ind w:left="720"/>
        <w:jc w:val="both"/>
        <w:rPr>
          <w:sz w:val="22"/>
          <w:szCs w:val="22"/>
        </w:rPr>
      </w:pPr>
      <w:r w:rsidRPr="00D52DDD">
        <w:rPr>
          <w:sz w:val="22"/>
          <w:szCs w:val="22"/>
        </w:rPr>
        <w:t xml:space="preserve">Secretaría Distrital de Planeación. (2023). Número de matrículas activas de establecimientos de comercio para Bogotá por localidad y UPZ a 2022. </w:t>
      </w:r>
      <w:hyperlink r:id="rId16">
        <w:r w:rsidRPr="00D52DDD">
          <w:rPr>
            <w:sz w:val="22"/>
            <w:szCs w:val="22"/>
            <w:u w:val="single"/>
          </w:rPr>
          <w:t>https://www.sdp.gov.co/gestion-estudios-estrategicos/informacion-cartografia-y-estadistica/repositorio-estadistico/establecimientos-de-comercio%5D</w:t>
        </w:r>
      </w:hyperlink>
      <w:r w:rsidRPr="00D52DDD">
        <w:rPr>
          <w:sz w:val="22"/>
          <w:szCs w:val="22"/>
        </w:rPr>
        <w:t xml:space="preserve">  </w:t>
      </w:r>
    </w:p>
    <w:p w:rsidR="008A790F" w:rsidRPr="00D52DDD" w:rsidRDefault="00272DD2">
      <w:pPr>
        <w:spacing w:after="160"/>
        <w:ind w:left="720"/>
        <w:jc w:val="both"/>
        <w:rPr>
          <w:sz w:val="22"/>
          <w:szCs w:val="22"/>
          <w:highlight w:val="white"/>
        </w:rPr>
      </w:pPr>
      <w:r w:rsidRPr="00D52DDD">
        <w:rPr>
          <w:sz w:val="22"/>
          <w:szCs w:val="22"/>
        </w:rPr>
        <w:t xml:space="preserve">Superintendencia de Servicios Públicos. (2023). Informe Nacional de Disposición Final de Residuos Sólidos 2022. </w:t>
      </w:r>
      <w:hyperlink r:id="rId17">
        <w:r w:rsidRPr="00D52DDD">
          <w:rPr>
            <w:sz w:val="22"/>
            <w:szCs w:val="22"/>
            <w:u w:val="single"/>
          </w:rPr>
          <w:t>https://www.superservicios.gov.co/sites/default/files/inline-files/Informe-Nacional-de-Disposicion-Final-de-Residuos-Solidos-2022.pdf</w:t>
        </w:r>
      </w:hyperlink>
    </w:p>
    <w:p w:rsidR="008A790F" w:rsidRPr="00D52DDD" w:rsidRDefault="00272DD2">
      <w:pPr>
        <w:spacing w:before="240" w:after="240"/>
        <w:jc w:val="both"/>
        <w:rPr>
          <w:sz w:val="22"/>
          <w:szCs w:val="22"/>
          <w:highlight w:val="white"/>
        </w:rPr>
      </w:pPr>
      <w:r w:rsidRPr="00D52DDD">
        <w:rPr>
          <w:sz w:val="22"/>
          <w:szCs w:val="22"/>
          <w:highlight w:val="white"/>
        </w:rPr>
        <w:t xml:space="preserve">Atentamente, </w:t>
      </w:r>
    </w:p>
    <w:p w:rsidR="008A790F" w:rsidRPr="00D52DDD" w:rsidRDefault="008A790F">
      <w:pPr>
        <w:spacing w:before="240" w:after="240"/>
        <w:jc w:val="both"/>
        <w:rPr>
          <w:sz w:val="22"/>
          <w:szCs w:val="22"/>
          <w:highlight w:val="white"/>
        </w:rPr>
      </w:pPr>
    </w:p>
    <w:p w:rsidR="008A790F" w:rsidRPr="00D52DDD" w:rsidRDefault="008A790F">
      <w:pPr>
        <w:widowControl w:val="0"/>
        <w:jc w:val="both"/>
        <w:rPr>
          <w:b/>
          <w:sz w:val="22"/>
          <w:szCs w:val="22"/>
        </w:rPr>
      </w:pPr>
    </w:p>
    <w:p w:rsidR="008A790F" w:rsidRPr="00D52DDD" w:rsidRDefault="008A790F">
      <w:pPr>
        <w:widowControl w:val="0"/>
        <w:jc w:val="both"/>
        <w:rPr>
          <w:b/>
          <w:sz w:val="22"/>
          <w:szCs w:val="22"/>
        </w:rPr>
      </w:pPr>
    </w:p>
    <w:p w:rsidR="008A790F" w:rsidRPr="00D52DDD" w:rsidRDefault="00272DD2">
      <w:pPr>
        <w:widowControl w:val="0"/>
        <w:jc w:val="both"/>
        <w:rPr>
          <w:b/>
          <w:sz w:val="22"/>
          <w:szCs w:val="22"/>
        </w:rPr>
      </w:pPr>
      <w:r w:rsidRPr="00D52DDD">
        <w:rPr>
          <w:b/>
          <w:sz w:val="22"/>
          <w:szCs w:val="22"/>
        </w:rPr>
        <w:t xml:space="preserve">ARMANDO GUTIÉRREZ GONZÁLEZ </w:t>
      </w:r>
    </w:p>
    <w:p w:rsidR="008A790F" w:rsidRPr="00D52DDD" w:rsidRDefault="00272DD2">
      <w:pPr>
        <w:jc w:val="both"/>
        <w:rPr>
          <w:sz w:val="22"/>
          <w:szCs w:val="22"/>
        </w:rPr>
      </w:pPr>
      <w:r w:rsidRPr="00D52DDD">
        <w:rPr>
          <w:sz w:val="22"/>
          <w:szCs w:val="22"/>
        </w:rPr>
        <w:t>Concejal de Bogotá</w:t>
      </w:r>
    </w:p>
    <w:p w:rsidR="008A790F" w:rsidRPr="00D52DDD" w:rsidRDefault="00272DD2">
      <w:pPr>
        <w:jc w:val="both"/>
        <w:rPr>
          <w:sz w:val="22"/>
          <w:szCs w:val="22"/>
        </w:rPr>
      </w:pPr>
      <w:r w:rsidRPr="00D52DDD">
        <w:rPr>
          <w:sz w:val="22"/>
          <w:szCs w:val="22"/>
        </w:rPr>
        <w:t>Partido Liberal</w:t>
      </w:r>
    </w:p>
    <w:p w:rsidR="008A790F" w:rsidRPr="00D52DDD" w:rsidRDefault="008A790F">
      <w:pPr>
        <w:widowControl w:val="0"/>
        <w:jc w:val="both"/>
        <w:rPr>
          <w:sz w:val="22"/>
          <w:szCs w:val="22"/>
        </w:rPr>
      </w:pPr>
    </w:p>
    <w:p w:rsidR="008A790F" w:rsidRPr="00AA2B66" w:rsidRDefault="00272DD2">
      <w:pPr>
        <w:spacing w:line="200" w:lineRule="auto"/>
        <w:rPr>
          <w:sz w:val="18"/>
          <w:szCs w:val="18"/>
        </w:rPr>
      </w:pPr>
      <w:r w:rsidRPr="00AA2B66">
        <w:rPr>
          <w:sz w:val="18"/>
          <w:szCs w:val="18"/>
        </w:rPr>
        <w:t>Anexos: N/A</w:t>
      </w:r>
    </w:p>
    <w:p w:rsidR="008A790F" w:rsidRPr="00AA2B66" w:rsidRDefault="00272DD2">
      <w:pPr>
        <w:spacing w:line="200" w:lineRule="auto"/>
        <w:rPr>
          <w:sz w:val="18"/>
          <w:szCs w:val="18"/>
        </w:rPr>
      </w:pPr>
      <w:r w:rsidRPr="00AA2B66">
        <w:rPr>
          <w:sz w:val="18"/>
          <w:szCs w:val="18"/>
        </w:rPr>
        <w:t>Copia: N/A</w:t>
      </w:r>
    </w:p>
    <w:p w:rsidR="008A790F" w:rsidRPr="00AA2B66" w:rsidRDefault="00272DD2">
      <w:pPr>
        <w:spacing w:line="200" w:lineRule="auto"/>
        <w:rPr>
          <w:sz w:val="18"/>
          <w:szCs w:val="18"/>
        </w:rPr>
      </w:pPr>
      <w:r w:rsidRPr="00AA2B66">
        <w:rPr>
          <w:sz w:val="18"/>
          <w:szCs w:val="18"/>
        </w:rPr>
        <w:t>Elaboró: Andrea Camelo, judicante</w:t>
      </w:r>
    </w:p>
    <w:p w:rsidR="008A790F" w:rsidRPr="00AA2B66" w:rsidRDefault="00272DD2">
      <w:pPr>
        <w:spacing w:line="200" w:lineRule="auto"/>
        <w:rPr>
          <w:sz w:val="18"/>
          <w:szCs w:val="18"/>
        </w:rPr>
      </w:pPr>
      <w:r w:rsidRPr="00AA2B66">
        <w:rPr>
          <w:sz w:val="18"/>
          <w:szCs w:val="18"/>
        </w:rPr>
        <w:t>Revisó: Diana Riveros, asesora H.C. AGG</w:t>
      </w:r>
    </w:p>
    <w:p w:rsidR="008A790F" w:rsidRPr="00D52DDD" w:rsidRDefault="008A790F">
      <w:pPr>
        <w:jc w:val="center"/>
        <w:rPr>
          <w:b/>
          <w:sz w:val="22"/>
          <w:szCs w:val="22"/>
        </w:rPr>
      </w:pPr>
    </w:p>
    <w:p w:rsidR="008A790F" w:rsidRPr="00D52DDD" w:rsidRDefault="008A790F">
      <w:pPr>
        <w:rPr>
          <w:b/>
          <w:sz w:val="22"/>
          <w:szCs w:val="22"/>
        </w:rPr>
      </w:pPr>
    </w:p>
    <w:p w:rsidR="00AA2B66" w:rsidRDefault="00AA2B66" w:rsidP="00D52DDD">
      <w:pPr>
        <w:jc w:val="center"/>
        <w:rPr>
          <w:rFonts w:eastAsia="Times New Roman"/>
          <w:b/>
          <w:sz w:val="22"/>
          <w:szCs w:val="22"/>
        </w:rPr>
      </w:pPr>
    </w:p>
    <w:p w:rsidR="00AA2B66" w:rsidRDefault="00AA2B66" w:rsidP="00D52DDD">
      <w:pPr>
        <w:jc w:val="center"/>
        <w:rPr>
          <w:rFonts w:eastAsia="Times New Roman"/>
          <w:b/>
          <w:sz w:val="22"/>
          <w:szCs w:val="22"/>
        </w:rPr>
      </w:pPr>
    </w:p>
    <w:p w:rsidR="00D52DDD" w:rsidRPr="00D52DDD" w:rsidRDefault="00D52DDD" w:rsidP="00D52DDD">
      <w:pPr>
        <w:jc w:val="center"/>
        <w:rPr>
          <w:rFonts w:eastAsia="Times New Roman"/>
          <w:b/>
          <w:sz w:val="22"/>
          <w:szCs w:val="22"/>
        </w:rPr>
      </w:pPr>
      <w:r w:rsidRPr="00D52DDD">
        <w:rPr>
          <w:rFonts w:eastAsia="Times New Roman"/>
          <w:b/>
          <w:sz w:val="22"/>
          <w:szCs w:val="22"/>
        </w:rPr>
        <w:lastRenderedPageBreak/>
        <w:t xml:space="preserve">PROYECTO DE ACUERDO No. </w:t>
      </w:r>
      <w:r>
        <w:rPr>
          <w:rFonts w:eastAsia="Times New Roman"/>
          <w:b/>
          <w:sz w:val="22"/>
          <w:szCs w:val="22"/>
        </w:rPr>
        <w:t>___</w:t>
      </w:r>
      <w:r w:rsidR="00AA2B66">
        <w:rPr>
          <w:rFonts w:eastAsia="Times New Roman"/>
          <w:b/>
          <w:sz w:val="22"/>
          <w:szCs w:val="22"/>
        </w:rPr>
        <w:t xml:space="preserve"> de 2026</w:t>
      </w:r>
      <w:r w:rsidRPr="00D52DDD">
        <w:rPr>
          <w:rFonts w:eastAsia="Times New Roman"/>
          <w:b/>
          <w:sz w:val="22"/>
          <w:szCs w:val="22"/>
        </w:rPr>
        <w:t xml:space="preserve"> </w:t>
      </w:r>
    </w:p>
    <w:p w:rsidR="00D52DDD" w:rsidRPr="00D52DDD" w:rsidRDefault="00D52DDD" w:rsidP="00D52DDD">
      <w:pPr>
        <w:rPr>
          <w:rFonts w:eastAsia="Times New Roman"/>
          <w:b/>
          <w:sz w:val="22"/>
          <w:szCs w:val="22"/>
        </w:rPr>
      </w:pPr>
    </w:p>
    <w:p w:rsidR="00D52DDD" w:rsidRPr="00D52DDD" w:rsidRDefault="00D52DDD" w:rsidP="00D52DDD">
      <w:pPr>
        <w:jc w:val="center"/>
        <w:rPr>
          <w:rFonts w:eastAsia="Times New Roman"/>
          <w:b/>
          <w:sz w:val="22"/>
          <w:szCs w:val="22"/>
        </w:rPr>
      </w:pPr>
      <w:r w:rsidRPr="00D52DDD">
        <w:rPr>
          <w:rFonts w:eastAsia="Times New Roman"/>
          <w:b/>
          <w:sz w:val="22"/>
          <w:szCs w:val="22"/>
        </w:rPr>
        <w:t xml:space="preserve">“POR MEDIO DEL CUAL SE ESTABLECEN LINEAMIENTOS PARA PROMOVER LA DEBIDA CLASIFICACIÓN DE RESIDUOS SÓLIDOS DESDE LA FUENTE EN ESTABLECIMIENTOS COMERCIALES DE BOGOTÁ D.C., Y SE DICTAN OTRAS DISPOSICIONES” </w:t>
      </w:r>
    </w:p>
    <w:p w:rsidR="00D52DDD" w:rsidRPr="00D52DDD" w:rsidRDefault="00D52DDD" w:rsidP="00D52DDD">
      <w:pPr>
        <w:rPr>
          <w:rFonts w:eastAsia="Times New Roman"/>
          <w:sz w:val="22"/>
          <w:szCs w:val="22"/>
        </w:rPr>
      </w:pPr>
    </w:p>
    <w:p w:rsidR="00D52DDD" w:rsidRPr="00D52DDD" w:rsidRDefault="00D52DDD" w:rsidP="00D52DDD">
      <w:pPr>
        <w:jc w:val="center"/>
        <w:rPr>
          <w:rFonts w:eastAsia="Times New Roman"/>
          <w:sz w:val="22"/>
          <w:szCs w:val="22"/>
        </w:rPr>
      </w:pPr>
    </w:p>
    <w:p w:rsidR="00D52DDD" w:rsidRPr="00D52DDD" w:rsidRDefault="00D52DDD" w:rsidP="00D52DDD">
      <w:pPr>
        <w:jc w:val="center"/>
        <w:rPr>
          <w:rFonts w:eastAsia="Times New Roman"/>
          <w:b/>
          <w:sz w:val="22"/>
          <w:szCs w:val="22"/>
        </w:rPr>
      </w:pPr>
      <w:r w:rsidRPr="00D52DDD">
        <w:rPr>
          <w:rFonts w:eastAsia="Times New Roman"/>
          <w:b/>
          <w:sz w:val="22"/>
          <w:szCs w:val="22"/>
        </w:rPr>
        <w:t>EL CONCEJO DE BOGOTÁ D.C.</w:t>
      </w:r>
    </w:p>
    <w:p w:rsidR="00D52DDD" w:rsidRPr="00D52DDD" w:rsidRDefault="00D52DDD" w:rsidP="00D52DDD">
      <w:pPr>
        <w:rPr>
          <w:rFonts w:eastAsia="Times New Roman"/>
          <w:b/>
          <w:sz w:val="22"/>
          <w:szCs w:val="22"/>
        </w:rPr>
      </w:pPr>
    </w:p>
    <w:p w:rsidR="00D52DDD" w:rsidRPr="00D52DDD" w:rsidRDefault="00D52DDD" w:rsidP="00D52DDD">
      <w:pPr>
        <w:ind w:left="339" w:right="361"/>
        <w:jc w:val="center"/>
        <w:rPr>
          <w:rFonts w:eastAsia="Times New Roman"/>
          <w:sz w:val="22"/>
          <w:szCs w:val="22"/>
        </w:rPr>
      </w:pPr>
      <w:r w:rsidRPr="00D52DDD">
        <w:rPr>
          <w:rFonts w:eastAsia="Times New Roman"/>
          <w:sz w:val="22"/>
          <w:szCs w:val="22"/>
        </w:rPr>
        <w:t xml:space="preserve">En uso de sus facultades constitucionales y legales, en especial las conferidas por el artículo 313 de la Constitución Política y el Decreto Ley 1421 de 1993, artículo 12 numerales 1, 7 y 25 </w:t>
      </w:r>
    </w:p>
    <w:p w:rsidR="00D52DDD" w:rsidRPr="00D52DDD" w:rsidRDefault="00D52DDD" w:rsidP="00D52DDD">
      <w:pPr>
        <w:ind w:left="339" w:right="361"/>
        <w:jc w:val="center"/>
        <w:rPr>
          <w:rFonts w:eastAsia="Times New Roman"/>
          <w:sz w:val="22"/>
          <w:szCs w:val="22"/>
        </w:rPr>
      </w:pPr>
    </w:p>
    <w:p w:rsidR="00D52DDD" w:rsidRPr="00D52DDD" w:rsidRDefault="00D52DDD" w:rsidP="00D52DDD">
      <w:pPr>
        <w:ind w:left="339" w:right="361"/>
        <w:jc w:val="center"/>
        <w:rPr>
          <w:rFonts w:eastAsia="Times New Roman"/>
          <w:b/>
          <w:sz w:val="22"/>
          <w:szCs w:val="22"/>
        </w:rPr>
      </w:pPr>
      <w:r w:rsidRPr="00D52DDD">
        <w:rPr>
          <w:rFonts w:eastAsia="Times New Roman"/>
          <w:b/>
          <w:sz w:val="22"/>
          <w:szCs w:val="22"/>
        </w:rPr>
        <w:t>ACUERDA</w:t>
      </w:r>
    </w:p>
    <w:p w:rsidR="00D52DDD" w:rsidRPr="00D52DDD" w:rsidRDefault="00D52DDD" w:rsidP="00D52DDD">
      <w:pPr>
        <w:jc w:val="both"/>
        <w:rPr>
          <w:rFonts w:eastAsia="Times New Roman"/>
          <w:sz w:val="22"/>
          <w:szCs w:val="22"/>
        </w:rPr>
      </w:pPr>
    </w:p>
    <w:p w:rsidR="00D52DDD" w:rsidRPr="00D52DDD" w:rsidRDefault="00D52DDD" w:rsidP="00D52DDD">
      <w:pPr>
        <w:jc w:val="both"/>
        <w:rPr>
          <w:rFonts w:eastAsia="Times New Roman"/>
          <w:sz w:val="22"/>
          <w:szCs w:val="22"/>
        </w:rPr>
      </w:pPr>
      <w:r w:rsidRPr="00D52DDD">
        <w:rPr>
          <w:rFonts w:eastAsia="Times New Roman"/>
          <w:b/>
          <w:sz w:val="22"/>
          <w:szCs w:val="22"/>
        </w:rPr>
        <w:t>Artículo 1º. Objeto.</w:t>
      </w:r>
      <w:r w:rsidRPr="00D52DDD">
        <w:rPr>
          <w:rFonts w:eastAsia="Times New Roman"/>
          <w:sz w:val="22"/>
          <w:szCs w:val="22"/>
        </w:rPr>
        <w:t xml:space="preserve"> La Administración Distrital, en cabeza de las entidades competentes, establecerá los lineamientos y medidas necesarias para promover la clasificación de residuos sólidos aprovechables en la fuente por parte de los establecimientos de comercio de la ciudad, asegurando el cumplimiento de las normativas ambientales vigentes, con el fin de contribuir a la reducción de la cantidad de residuos destinados a disposición final en el Parque de Innovación Doña Juana y a la conservación del medio ambiente.</w:t>
      </w:r>
      <w:r w:rsidRPr="00D52DDD">
        <w:rPr>
          <w:rFonts w:eastAsia="Times New Roman"/>
          <w:sz w:val="22"/>
          <w:szCs w:val="22"/>
        </w:rPr>
        <w:br/>
      </w:r>
    </w:p>
    <w:p w:rsidR="00D52DDD" w:rsidRPr="00D52DDD" w:rsidRDefault="00D52DDD" w:rsidP="00D52DDD">
      <w:pPr>
        <w:jc w:val="both"/>
        <w:rPr>
          <w:rFonts w:eastAsia="Times New Roman"/>
          <w:sz w:val="22"/>
          <w:szCs w:val="22"/>
        </w:rPr>
      </w:pPr>
      <w:r w:rsidRPr="00D52DDD">
        <w:rPr>
          <w:rFonts w:eastAsia="Times New Roman"/>
          <w:b/>
          <w:sz w:val="22"/>
          <w:szCs w:val="22"/>
        </w:rPr>
        <w:t>Artículo 2º. Definiciones.</w:t>
      </w:r>
      <w:r w:rsidRPr="00D52DDD">
        <w:rPr>
          <w:rFonts w:eastAsia="Times New Roman"/>
          <w:sz w:val="22"/>
          <w:szCs w:val="22"/>
        </w:rPr>
        <w:t xml:space="preserve"> Para los fines del presente Acuerdo, se establecen las siguientes definiciones:</w:t>
      </w:r>
    </w:p>
    <w:p w:rsidR="00D52DDD" w:rsidRPr="00D52DDD" w:rsidRDefault="00D52DDD" w:rsidP="00D52DDD">
      <w:pPr>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Aprovechamiento:</w:t>
      </w:r>
      <w:r w:rsidRPr="00D52DDD">
        <w:rPr>
          <w:rFonts w:eastAsia="Times New Roman"/>
          <w:sz w:val="22"/>
          <w:szCs w:val="22"/>
        </w:rPr>
        <w:t xml:space="preserve"> Es la actividad complementaria del servicio público de aseo que comprende la recolección de residuos aprovechables separados en la fuente por los usuarios, para posteriormente realizar su reincorporación al ciclo económico productivo en forma ambientalmente eficiente.</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Campaña de sensibilización:</w:t>
      </w:r>
      <w:r w:rsidRPr="00D52DDD">
        <w:rPr>
          <w:rFonts w:eastAsia="Times New Roman"/>
          <w:sz w:val="22"/>
          <w:szCs w:val="22"/>
        </w:rPr>
        <w:t xml:space="preserve"> Es una estrategia de comunicación diseñada para crear conciencia, informar y educar a la población sobre la importancia y los beneficios de clasificar los residuos desde el lugar donde son generados. Busca promover cambios de comportamiento en los ciudadanos y fomentar la adopción de prácticas de separación de residuos en sus hogares, lugares de trabajo y otros espacios.</w:t>
      </w:r>
      <w:r w:rsidRPr="00D52DDD">
        <w:rPr>
          <w:rFonts w:eastAsia="Times New Roman"/>
          <w:sz w:val="22"/>
          <w:szCs w:val="22"/>
        </w:rPr>
        <w:br/>
      </w:r>
    </w:p>
    <w:p w:rsidR="00D52DDD" w:rsidRPr="00D52DDD" w:rsidRDefault="00D52DDD" w:rsidP="008E15F7">
      <w:pPr>
        <w:ind w:left="720"/>
        <w:jc w:val="both"/>
        <w:rPr>
          <w:rFonts w:eastAsia="Times New Roman"/>
          <w:sz w:val="22"/>
          <w:szCs w:val="22"/>
        </w:rPr>
      </w:pPr>
      <w:r w:rsidRPr="00D52DDD">
        <w:rPr>
          <w:rFonts w:eastAsia="Times New Roman"/>
          <w:b/>
          <w:sz w:val="22"/>
          <w:szCs w:val="22"/>
        </w:rPr>
        <w:t>Clasificación en la Fuente:</w:t>
      </w:r>
      <w:r w:rsidRPr="00D52DDD">
        <w:rPr>
          <w:rFonts w:eastAsia="Times New Roman"/>
          <w:sz w:val="22"/>
          <w:szCs w:val="22"/>
        </w:rPr>
        <w:t xml:space="preserve"> Proceso mediante el cual los residuos sólidos son separados y agrupados según su composición y características (aprovechable y no aprovechable) en el lugar de generación, con el fin de facilitar su posterior recolección, tratamiento y disposición final de acuerdo a lo establecido en el Plan de Gestión Integral de Residuos Sólidos (PGIRS). </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Disposición final de residuos sólidos:</w:t>
      </w:r>
      <w:r w:rsidRPr="00D52DDD">
        <w:rPr>
          <w:rFonts w:eastAsia="Times New Roman"/>
          <w:sz w:val="22"/>
          <w:szCs w:val="22"/>
        </w:rPr>
        <w:t xml:space="preserve"> Es el proceso de aislar y confinar los residuos sólidos, en especial los no aprovechables, en forma definitiva en lugares </w:t>
      </w:r>
      <w:r w:rsidRPr="00D52DDD">
        <w:rPr>
          <w:rFonts w:eastAsia="Times New Roman"/>
          <w:sz w:val="22"/>
          <w:szCs w:val="22"/>
        </w:rPr>
        <w:lastRenderedPageBreak/>
        <w:t>especialmente seleccionados y diseñados para evitar la contaminación y los daños o riesgos a la salud humana y al ambiente.</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Establecimiento de comercio:</w:t>
      </w:r>
      <w:r w:rsidRPr="00D52DDD">
        <w:rPr>
          <w:rFonts w:eastAsia="Times New Roman"/>
          <w:sz w:val="22"/>
          <w:szCs w:val="22"/>
        </w:rPr>
        <w:t xml:space="preserve"> Es un conjunto de bienes y elementos organizados para desarrollar las actividades comerciales y cumplir los fines de la empresa. Ejemplo: tiendas, supermercados, restaurantes, cafeterías, fábricas, etc. </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Gestión integral de residuos sólidos:</w:t>
      </w:r>
      <w:r w:rsidRPr="00D52DDD">
        <w:rPr>
          <w:rFonts w:eastAsia="Times New Roman"/>
          <w:sz w:val="22"/>
          <w:szCs w:val="22"/>
        </w:rPr>
        <w:t xml:space="preserve"> Es el conjunto de actividades para el manejo de los residuos sólidos que abarca todas las etapas del ciclo de vida de los mismos desde su generación hasta su disposición final, las cuales van encaminadas a reducir la generación de residuos, a realizar el aprovechamiento teniendo en cuenta sus características, volumen, procedencia, costos, tratamiento con fines de aprovechamiento y comercialización. También incluye el tratamiento y disposición final de los residuos no aprovechables. </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Medidas correctivas:</w:t>
      </w:r>
      <w:r w:rsidRPr="00D52DDD">
        <w:rPr>
          <w:rFonts w:eastAsia="Times New Roman"/>
          <w:sz w:val="22"/>
          <w:szCs w:val="22"/>
        </w:rPr>
        <w:t xml:space="preserve"> Acciones impuestas a aquellos generadores de residuos sólidos que incumplen con las disposiciones legales en el marco de la gestión integral de residuos sólidos y su obligatoria separación desde la fuente.</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Parque de innovación Doña Juana:</w:t>
      </w:r>
      <w:r w:rsidRPr="00D52DDD">
        <w:rPr>
          <w:rFonts w:eastAsia="Times New Roman"/>
          <w:sz w:val="22"/>
          <w:szCs w:val="22"/>
        </w:rPr>
        <w:t xml:space="preserve"> Es la principal obra de ingeniería que tiene Bogotá para tratar cada uno de los residuos que llegan y que posteriormente se producen después de la disposición final.</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Plan de Gestión Integral de Residuos Sólidos - PGIRS:</w:t>
      </w:r>
      <w:r w:rsidRPr="00D52DDD">
        <w:rPr>
          <w:rFonts w:eastAsia="Times New Roman"/>
          <w:sz w:val="22"/>
          <w:szCs w:val="22"/>
        </w:rPr>
        <w:t xml:space="preserve"> Es un instrumento de planificación municipal o regional que establece las políticas, estrategias, metas y acciones necesarias para garantizar una adecuada gestión de los residuos sólidos en un determinado territorio, basándose en un diagnóstico inicial, en su proyección hacia el futuro y en un plan financiero viable que permita garantizar el mejoramiento continuo del manejo de residuos y la prestación del servicio de aseo.</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Reciclaje:</w:t>
      </w:r>
      <w:r w:rsidRPr="00D52DDD">
        <w:rPr>
          <w:rFonts w:eastAsia="Times New Roman"/>
          <w:sz w:val="22"/>
          <w:szCs w:val="22"/>
        </w:rPr>
        <w:t xml:space="preserve"> Proceso mediante el cual se aprovechan y transforman los residuos sólidos recuperados y se devuelven a los materiales sus potencialidades de reincorporación como materia prima para la fabricación de nuevos productos, con el fin de aprovechar los recursos existentes en los residuos y reducir la necesidad de utilizar nuevos recursos naturales, contribuyendo así a la conservación del medio ambiente y la sostenibilidad.</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Residuo sólido:</w:t>
      </w:r>
      <w:r w:rsidRPr="00D52DDD">
        <w:rPr>
          <w:rFonts w:eastAsia="Times New Roman"/>
          <w:sz w:val="22"/>
          <w:szCs w:val="22"/>
        </w:rPr>
        <w:t xml:space="preserve"> Se refiere a cualquier material, sustancia u objeto principalmente sólido que el poseedor desecha tras su vida útil y que es procedente de la fabricación, transformación, utilización o consumo de un bien. Estos residuos sólidos, en su mayoría, son susceptibles de aprovecharse o transformarse con un correcto reciclado. </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Residuo sólido aprovechable:</w:t>
      </w:r>
      <w:r w:rsidRPr="00D52DDD">
        <w:rPr>
          <w:rFonts w:eastAsia="Times New Roman"/>
          <w:sz w:val="22"/>
          <w:szCs w:val="22"/>
        </w:rPr>
        <w:t xml:space="preserve"> Es cualquier material, objeto, sustancia o elemento sólido que no tiene valor de uso para quien lo genere, pero que puede ser </w:t>
      </w:r>
      <w:r w:rsidRPr="00D52DDD">
        <w:rPr>
          <w:rFonts w:eastAsia="Times New Roman"/>
          <w:sz w:val="22"/>
          <w:szCs w:val="22"/>
        </w:rPr>
        <w:lastRenderedPageBreak/>
        <w:t>recuperado, reciclado y transformado para su reincorporación a un proceso productivo.</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Residuo sólido no aprovechable:</w:t>
      </w:r>
      <w:r w:rsidRPr="00D52DDD">
        <w:rPr>
          <w:rFonts w:eastAsia="Times New Roman"/>
          <w:sz w:val="22"/>
          <w:szCs w:val="22"/>
        </w:rPr>
        <w:t xml:space="preserve"> Es todo material o sustancia sólida o semisólida de origen orgánico e inorgánico, putrescible o no, que no ofrece ninguna posibilidad de aprovechamiento, reutilización o reincorporación en un proceso productivo. Son residuos sólidos que no tienen ningún valor comercial, requieren tratamiento y disposición final y por lo tanto generan costos de disposición. </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Usuario residencial:</w:t>
      </w:r>
      <w:r w:rsidRPr="00D52DDD">
        <w:rPr>
          <w:rFonts w:eastAsia="Times New Roman"/>
          <w:sz w:val="22"/>
          <w:szCs w:val="22"/>
        </w:rPr>
        <w:t xml:space="preserve"> Persona natural o jurídica que usa los servicios públicos domiciliarios para las actividades necesarias de los hogares y núcleos familiares.</w:t>
      </w:r>
    </w:p>
    <w:p w:rsidR="00D52DDD" w:rsidRPr="00D52DDD" w:rsidRDefault="00D52DDD" w:rsidP="008E15F7">
      <w:pPr>
        <w:ind w:left="720"/>
        <w:jc w:val="both"/>
        <w:rPr>
          <w:rFonts w:eastAsia="Times New Roman"/>
          <w:sz w:val="22"/>
          <w:szCs w:val="22"/>
        </w:rPr>
      </w:pPr>
    </w:p>
    <w:p w:rsidR="00D52DDD" w:rsidRPr="00D52DDD" w:rsidRDefault="00D52DDD" w:rsidP="008E15F7">
      <w:pPr>
        <w:ind w:left="720"/>
        <w:jc w:val="both"/>
        <w:rPr>
          <w:rFonts w:eastAsia="Times New Roman"/>
          <w:sz w:val="22"/>
          <w:szCs w:val="22"/>
        </w:rPr>
      </w:pPr>
      <w:r w:rsidRPr="00D52DDD">
        <w:rPr>
          <w:rFonts w:eastAsia="Times New Roman"/>
          <w:b/>
          <w:sz w:val="22"/>
          <w:szCs w:val="22"/>
        </w:rPr>
        <w:t>Usuario no residencial:</w:t>
      </w:r>
      <w:r w:rsidRPr="00D52DDD">
        <w:rPr>
          <w:rFonts w:eastAsia="Times New Roman"/>
          <w:sz w:val="22"/>
          <w:szCs w:val="22"/>
        </w:rPr>
        <w:t xml:space="preserve"> Es la persona natural o jurídica que produce residuos sólidos derivados de la actividad comercial, industrial, y los oficiales que se benefician con la prestación del servicio público de aseo.</w:t>
      </w:r>
    </w:p>
    <w:p w:rsidR="00D52DDD" w:rsidRPr="00D52DDD" w:rsidRDefault="00D52DDD" w:rsidP="00D52DDD">
      <w:pPr>
        <w:jc w:val="both"/>
        <w:rPr>
          <w:rFonts w:eastAsia="Times New Roman"/>
          <w:sz w:val="22"/>
          <w:szCs w:val="22"/>
        </w:rPr>
      </w:pPr>
    </w:p>
    <w:p w:rsidR="00D52DDD" w:rsidRPr="00D52DDD" w:rsidRDefault="00D52DDD" w:rsidP="00D52DDD">
      <w:pPr>
        <w:jc w:val="both"/>
        <w:rPr>
          <w:rFonts w:eastAsia="Times New Roman"/>
          <w:sz w:val="22"/>
          <w:szCs w:val="22"/>
        </w:rPr>
      </w:pPr>
      <w:r w:rsidRPr="00D52DDD">
        <w:rPr>
          <w:rFonts w:eastAsia="Times New Roman"/>
          <w:b/>
          <w:sz w:val="22"/>
          <w:szCs w:val="22"/>
        </w:rPr>
        <w:t>Artículo 3º. Competencias.</w:t>
      </w:r>
      <w:r w:rsidRPr="00D52DDD">
        <w:rPr>
          <w:rFonts w:eastAsia="Times New Roman"/>
          <w:sz w:val="22"/>
          <w:szCs w:val="22"/>
        </w:rPr>
        <w:t xml:space="preserve">  La Unidad Administrativa Especial de Servicios Públicos (UAESP) y demás entidades competentes, desarrollará</w:t>
      </w:r>
      <w:r w:rsidR="008E15F7">
        <w:rPr>
          <w:rFonts w:eastAsia="Times New Roman"/>
          <w:sz w:val="22"/>
          <w:szCs w:val="22"/>
        </w:rPr>
        <w:t>n</w:t>
      </w:r>
      <w:r w:rsidRPr="00D52DDD">
        <w:rPr>
          <w:rFonts w:eastAsia="Times New Roman"/>
          <w:sz w:val="22"/>
          <w:szCs w:val="22"/>
        </w:rPr>
        <w:t xml:space="preserve"> estrategias para la separación en la fuente y el aprovechamiento de residuos sólidos generados por establecimientos de comercio, en el marco del Plan de Gestión Integral de Residuos Sólidos (PGIRS), el Plan Distrital de Desarrollo y la normativa ambiental vigente.</w:t>
      </w:r>
    </w:p>
    <w:p w:rsidR="00D52DDD" w:rsidRPr="00D52DDD" w:rsidRDefault="00D52DDD" w:rsidP="00D52DDD">
      <w:pPr>
        <w:jc w:val="both"/>
        <w:rPr>
          <w:rFonts w:eastAsia="Times New Roman"/>
          <w:sz w:val="22"/>
          <w:szCs w:val="22"/>
        </w:rPr>
      </w:pPr>
    </w:p>
    <w:p w:rsidR="00D52DDD" w:rsidRPr="00D52DDD" w:rsidRDefault="00D52DDD" w:rsidP="00D52DDD">
      <w:pPr>
        <w:jc w:val="both"/>
        <w:rPr>
          <w:rFonts w:eastAsia="Times New Roman"/>
          <w:sz w:val="22"/>
          <w:szCs w:val="22"/>
        </w:rPr>
      </w:pPr>
      <w:r w:rsidRPr="008E15F7">
        <w:rPr>
          <w:rFonts w:eastAsia="Times New Roman"/>
          <w:b/>
          <w:sz w:val="22"/>
          <w:szCs w:val="22"/>
        </w:rPr>
        <w:t>Parágrafo.</w:t>
      </w:r>
      <w:r w:rsidRPr="00D52DDD">
        <w:rPr>
          <w:rFonts w:eastAsia="Times New Roman"/>
          <w:sz w:val="22"/>
          <w:szCs w:val="22"/>
        </w:rPr>
        <w:t xml:space="preserve"> La Administración Distrital reglamentará la implementación del presente Acuerdo, en concordancia con las disposiciones establecidas en el PGIRS y las directrices ambientales nacionales y distritales vigentes.</w:t>
      </w:r>
    </w:p>
    <w:p w:rsidR="00D52DDD" w:rsidRPr="00D52DDD" w:rsidRDefault="00D52DDD" w:rsidP="00D52DDD">
      <w:pPr>
        <w:jc w:val="both"/>
        <w:rPr>
          <w:rFonts w:eastAsia="Times New Roman"/>
          <w:sz w:val="22"/>
          <w:szCs w:val="22"/>
        </w:rPr>
      </w:pPr>
    </w:p>
    <w:p w:rsidR="00D52DDD" w:rsidRPr="00D52DDD" w:rsidRDefault="00D52DDD" w:rsidP="00D52DDD">
      <w:pPr>
        <w:jc w:val="both"/>
        <w:rPr>
          <w:rFonts w:eastAsia="Times New Roman"/>
          <w:sz w:val="22"/>
          <w:szCs w:val="22"/>
        </w:rPr>
      </w:pPr>
      <w:r w:rsidRPr="00D52DDD">
        <w:rPr>
          <w:rFonts w:eastAsia="Times New Roman"/>
          <w:b/>
          <w:sz w:val="22"/>
          <w:szCs w:val="22"/>
        </w:rPr>
        <w:t>Artículo 4º. Lineamientos.</w:t>
      </w:r>
      <w:r w:rsidRPr="00D52DDD">
        <w:rPr>
          <w:rFonts w:eastAsia="Times New Roman"/>
          <w:sz w:val="22"/>
          <w:szCs w:val="22"/>
        </w:rPr>
        <w:t xml:space="preserve"> La promoción de la clasificación de residuos sólidos en la fuente, se llevará a cabo en el Distrito Capital atendiendo los siguientes lineamientos:</w:t>
      </w:r>
    </w:p>
    <w:p w:rsidR="00D52DDD" w:rsidRPr="00D52DDD" w:rsidRDefault="00D52DDD" w:rsidP="00D52DDD">
      <w:pPr>
        <w:jc w:val="both"/>
        <w:rPr>
          <w:rFonts w:eastAsia="Times New Roman"/>
          <w:sz w:val="22"/>
          <w:szCs w:val="22"/>
        </w:rPr>
      </w:pPr>
    </w:p>
    <w:p w:rsidR="001109F1" w:rsidRDefault="00D52DDD" w:rsidP="001109F1">
      <w:pPr>
        <w:ind w:left="720"/>
        <w:jc w:val="both"/>
        <w:rPr>
          <w:rFonts w:eastAsia="Times New Roman"/>
          <w:sz w:val="22"/>
          <w:szCs w:val="22"/>
        </w:rPr>
      </w:pPr>
      <w:r w:rsidRPr="00D52DDD">
        <w:rPr>
          <w:rFonts w:eastAsia="Times New Roman"/>
          <w:b/>
          <w:sz w:val="22"/>
          <w:szCs w:val="22"/>
        </w:rPr>
        <w:t xml:space="preserve">1. Acciones pedagógicas: </w:t>
      </w:r>
      <w:r w:rsidRPr="00D52DDD">
        <w:rPr>
          <w:rFonts w:eastAsia="Times New Roman"/>
          <w:sz w:val="22"/>
          <w:szCs w:val="22"/>
        </w:rPr>
        <w:t>La Secretaría Distrital de Ambiente adelantará acciones pedagógicas dirigidas a las distintas actividades comerciales para las adecuadas prácticas de gestión de residuos sólidos, quienes a su vez podrán replicar esta información entre su personal y clientes.</w:t>
      </w:r>
    </w:p>
    <w:p w:rsidR="00D52DDD" w:rsidRPr="00D52DDD" w:rsidRDefault="00D52DDD" w:rsidP="001109F1">
      <w:pPr>
        <w:ind w:left="720"/>
        <w:jc w:val="both"/>
        <w:rPr>
          <w:rFonts w:eastAsia="Times New Roman"/>
          <w:sz w:val="22"/>
          <w:szCs w:val="22"/>
        </w:rPr>
      </w:pPr>
      <w:r w:rsidRPr="00D52DDD">
        <w:rPr>
          <w:rFonts w:eastAsia="Times New Roman"/>
          <w:sz w:val="22"/>
          <w:szCs w:val="22"/>
        </w:rPr>
        <w:t xml:space="preserve"> </w:t>
      </w:r>
    </w:p>
    <w:p w:rsidR="00D52DDD" w:rsidRPr="00D52DDD" w:rsidRDefault="00D52DDD" w:rsidP="001109F1">
      <w:pPr>
        <w:ind w:left="720"/>
        <w:jc w:val="both"/>
        <w:rPr>
          <w:rFonts w:eastAsia="Times New Roman"/>
          <w:sz w:val="22"/>
          <w:szCs w:val="22"/>
        </w:rPr>
      </w:pPr>
      <w:r w:rsidRPr="00D52DDD">
        <w:rPr>
          <w:rFonts w:eastAsia="Times New Roman"/>
          <w:b/>
          <w:sz w:val="22"/>
          <w:szCs w:val="22"/>
        </w:rPr>
        <w:t>2. Bolsas de colores:</w:t>
      </w:r>
      <w:r w:rsidRPr="00D52DDD">
        <w:rPr>
          <w:rFonts w:eastAsia="Times New Roman"/>
          <w:sz w:val="22"/>
          <w:szCs w:val="22"/>
        </w:rPr>
        <w:t xml:space="preserve"> Se propenderá porque los usuarios no residenciales separen los residuos sólidos desde la fuente en contenedores y bolsas que cumplan con las características del código de colores que establece la norma técnica colombiana GTC 2009 y la Resolución No. 2184 de 2019, en tres categorías principales: i. Residuos orgánicos y biodegradables: color verde, ii.  Residuos aprovechables: color blanco; y iii. Residuos no aprovechables: color negro. </w:t>
      </w:r>
    </w:p>
    <w:p w:rsidR="00D52DDD" w:rsidRPr="00D52DDD" w:rsidRDefault="00D52DDD" w:rsidP="001109F1">
      <w:pPr>
        <w:ind w:left="720"/>
        <w:jc w:val="both"/>
        <w:rPr>
          <w:rFonts w:eastAsia="Times New Roman"/>
          <w:sz w:val="22"/>
          <w:szCs w:val="22"/>
        </w:rPr>
      </w:pPr>
    </w:p>
    <w:p w:rsidR="00D52DDD" w:rsidRPr="00D52DDD" w:rsidRDefault="00D52DDD" w:rsidP="001109F1">
      <w:pPr>
        <w:ind w:left="720"/>
        <w:jc w:val="both"/>
        <w:rPr>
          <w:rFonts w:eastAsia="Times New Roman"/>
          <w:sz w:val="22"/>
          <w:szCs w:val="22"/>
        </w:rPr>
      </w:pPr>
      <w:r w:rsidRPr="00D52DDD">
        <w:rPr>
          <w:rFonts w:eastAsia="Times New Roman"/>
          <w:b/>
          <w:sz w:val="22"/>
          <w:szCs w:val="22"/>
        </w:rPr>
        <w:t xml:space="preserve">3. Estrategia de comunicación y divulgación: </w:t>
      </w:r>
      <w:r w:rsidRPr="00D52DDD">
        <w:rPr>
          <w:rFonts w:eastAsia="Times New Roman"/>
          <w:sz w:val="22"/>
          <w:szCs w:val="22"/>
        </w:rPr>
        <w:t>Se difundirá a través de medios de comunicación masivos, redes sociales y actividades comunitarias una estrategia de comunicación y divulgación sobre cómo separar residuos sólidos en la fuente, que sea de fácil comprensión para la ciudadanía, principalmente en contenedores y recipientes de clasificación de residuos sólidos en los establecimientos de comercio.</w:t>
      </w:r>
    </w:p>
    <w:p w:rsidR="00D52DDD" w:rsidRPr="00D52DDD" w:rsidRDefault="00D52DDD" w:rsidP="001109F1">
      <w:pPr>
        <w:ind w:left="1440"/>
        <w:jc w:val="both"/>
        <w:rPr>
          <w:rFonts w:eastAsia="Times New Roman"/>
          <w:sz w:val="22"/>
          <w:szCs w:val="22"/>
        </w:rPr>
      </w:pPr>
    </w:p>
    <w:p w:rsidR="00D52DDD" w:rsidRPr="00D52DDD" w:rsidRDefault="00D52DDD" w:rsidP="001109F1">
      <w:pPr>
        <w:ind w:left="720"/>
        <w:jc w:val="both"/>
        <w:rPr>
          <w:rFonts w:eastAsia="Times New Roman"/>
          <w:sz w:val="22"/>
          <w:szCs w:val="22"/>
        </w:rPr>
      </w:pPr>
      <w:r w:rsidRPr="00D52DDD">
        <w:rPr>
          <w:rFonts w:eastAsia="Times New Roman"/>
          <w:b/>
          <w:sz w:val="22"/>
          <w:szCs w:val="22"/>
        </w:rPr>
        <w:t xml:space="preserve">4. Divulgación de incentivos: </w:t>
      </w:r>
      <w:r w:rsidRPr="00D52DDD">
        <w:rPr>
          <w:rFonts w:eastAsia="Times New Roman"/>
          <w:sz w:val="22"/>
          <w:szCs w:val="22"/>
        </w:rPr>
        <w:t>A través de los medios de comunicación físicos y virtuales, la Administración Distrital informará a los establecimientos comerciales sobre incentivos por debida separación de residuos en la fuente.</w:t>
      </w:r>
    </w:p>
    <w:p w:rsidR="00D52DDD" w:rsidRPr="00D52DDD" w:rsidRDefault="00D52DDD" w:rsidP="001109F1">
      <w:pPr>
        <w:ind w:left="720"/>
        <w:jc w:val="both"/>
        <w:rPr>
          <w:rFonts w:eastAsia="Times New Roman"/>
          <w:sz w:val="22"/>
          <w:szCs w:val="22"/>
        </w:rPr>
      </w:pPr>
    </w:p>
    <w:p w:rsidR="00D52DDD" w:rsidRPr="00D52DDD" w:rsidRDefault="00D52DDD" w:rsidP="001109F1">
      <w:pPr>
        <w:ind w:left="720"/>
        <w:jc w:val="both"/>
        <w:rPr>
          <w:rFonts w:eastAsia="Times New Roman"/>
          <w:sz w:val="22"/>
          <w:szCs w:val="22"/>
        </w:rPr>
      </w:pPr>
      <w:r w:rsidRPr="00D52DDD">
        <w:rPr>
          <w:rFonts w:eastAsia="Times New Roman"/>
          <w:b/>
          <w:sz w:val="22"/>
          <w:szCs w:val="22"/>
        </w:rPr>
        <w:t>5. Alianzas estratégicas:</w:t>
      </w:r>
      <w:r w:rsidRPr="00D52DDD">
        <w:rPr>
          <w:rFonts w:eastAsia="Times New Roman"/>
          <w:sz w:val="22"/>
          <w:szCs w:val="22"/>
        </w:rPr>
        <w:t xml:space="preserve"> La Unidad Administrativa Especial de Servicios Públicos UAESP podrán impulsar alianzas público privadas para promover y ejecutar proyectos encaminados a la gestión integral de residuos sólidos en los comercios.</w:t>
      </w:r>
    </w:p>
    <w:p w:rsidR="00D52DDD" w:rsidRPr="00D52DDD" w:rsidRDefault="00D52DDD" w:rsidP="001109F1">
      <w:pPr>
        <w:ind w:left="720"/>
        <w:jc w:val="both"/>
        <w:rPr>
          <w:rFonts w:eastAsia="Times New Roman"/>
          <w:sz w:val="22"/>
          <w:szCs w:val="22"/>
        </w:rPr>
      </w:pPr>
    </w:p>
    <w:p w:rsidR="00D52DDD" w:rsidRPr="00D52DDD" w:rsidRDefault="00D52DDD" w:rsidP="001109F1">
      <w:pPr>
        <w:ind w:left="720"/>
        <w:jc w:val="both"/>
        <w:rPr>
          <w:rFonts w:eastAsia="Times New Roman"/>
          <w:sz w:val="22"/>
          <w:szCs w:val="22"/>
        </w:rPr>
      </w:pPr>
      <w:r w:rsidRPr="00D52DDD">
        <w:rPr>
          <w:rFonts w:eastAsia="Times New Roman"/>
          <w:b/>
          <w:sz w:val="22"/>
          <w:szCs w:val="22"/>
        </w:rPr>
        <w:t xml:space="preserve">6. Monitoreo </w:t>
      </w:r>
      <w:proofErr w:type="gramStart"/>
      <w:r w:rsidRPr="00D52DDD">
        <w:rPr>
          <w:rFonts w:eastAsia="Times New Roman"/>
          <w:b/>
          <w:sz w:val="22"/>
          <w:szCs w:val="22"/>
        </w:rPr>
        <w:t>y  evaluación</w:t>
      </w:r>
      <w:proofErr w:type="gramEnd"/>
      <w:r w:rsidRPr="00D52DDD">
        <w:rPr>
          <w:rFonts w:eastAsia="Times New Roman"/>
          <w:b/>
          <w:sz w:val="22"/>
          <w:szCs w:val="22"/>
        </w:rPr>
        <w:t>:</w:t>
      </w:r>
      <w:r w:rsidRPr="00D52DDD">
        <w:rPr>
          <w:rFonts w:eastAsia="Times New Roman"/>
          <w:sz w:val="22"/>
          <w:szCs w:val="22"/>
        </w:rPr>
        <w:t xml:space="preserve"> Efectuar la revisión de la implementación y desarrollo de la separación en la fuente de residuos sólidos en los establecimientos de comercio de Bogotá D.C., para verificar el cumplimiento de las disposiciones establecidas en este Acuerdo junto con las normas vigentes relacionadas con la gestión de residuos sólidos. </w:t>
      </w:r>
    </w:p>
    <w:p w:rsidR="00D52DDD" w:rsidRPr="00D52DDD" w:rsidRDefault="00D52DDD" w:rsidP="001109F1">
      <w:pPr>
        <w:ind w:left="1440"/>
        <w:jc w:val="both"/>
        <w:rPr>
          <w:rFonts w:eastAsia="Times New Roman"/>
          <w:sz w:val="22"/>
          <w:szCs w:val="22"/>
        </w:rPr>
      </w:pPr>
    </w:p>
    <w:p w:rsidR="00D52DDD" w:rsidRPr="00D52DDD" w:rsidRDefault="00D52DDD" w:rsidP="001109F1">
      <w:pPr>
        <w:ind w:left="720"/>
        <w:jc w:val="both"/>
        <w:rPr>
          <w:rFonts w:eastAsia="Times New Roman"/>
          <w:sz w:val="22"/>
          <w:szCs w:val="22"/>
        </w:rPr>
      </w:pPr>
      <w:r w:rsidRPr="00D52DDD">
        <w:rPr>
          <w:rFonts w:eastAsia="Times New Roman"/>
          <w:b/>
          <w:sz w:val="22"/>
          <w:szCs w:val="22"/>
        </w:rPr>
        <w:t>7. Medidas correctivas:</w:t>
      </w:r>
      <w:r w:rsidRPr="00D52DDD">
        <w:rPr>
          <w:rFonts w:eastAsia="Times New Roman"/>
          <w:sz w:val="22"/>
          <w:szCs w:val="22"/>
        </w:rPr>
        <w:t xml:space="preserve"> Las entidades competentes adoptarán las medidas necesarias para verificar el cumplimiento de la separación en la fuente por parte de los establecimientos de comercio. En caso de incumplimiento, se aplicarán las sanciones establecidas en el Código Nacional de Seguridad y Convivencia Ciudadana y demás normativas vigentes.</w:t>
      </w:r>
    </w:p>
    <w:p w:rsidR="00D52DDD" w:rsidRPr="00D52DDD" w:rsidRDefault="00D52DDD" w:rsidP="00D52DDD">
      <w:pPr>
        <w:jc w:val="both"/>
        <w:rPr>
          <w:rFonts w:eastAsia="Times New Roman"/>
          <w:sz w:val="22"/>
          <w:szCs w:val="22"/>
        </w:rPr>
      </w:pPr>
    </w:p>
    <w:p w:rsidR="00D52DDD" w:rsidRPr="00D52DDD" w:rsidRDefault="00D52DDD" w:rsidP="00D52DDD">
      <w:pPr>
        <w:jc w:val="both"/>
        <w:rPr>
          <w:rFonts w:eastAsia="Times New Roman"/>
          <w:sz w:val="22"/>
          <w:szCs w:val="22"/>
        </w:rPr>
      </w:pPr>
      <w:r w:rsidRPr="00D52DDD">
        <w:rPr>
          <w:rFonts w:eastAsia="Times New Roman"/>
          <w:b/>
          <w:sz w:val="22"/>
          <w:szCs w:val="22"/>
        </w:rPr>
        <w:t>Artículo 5º. Implementación.</w:t>
      </w:r>
      <w:r w:rsidRPr="00D52DDD">
        <w:rPr>
          <w:rFonts w:eastAsia="Times New Roman"/>
          <w:sz w:val="22"/>
          <w:szCs w:val="22"/>
        </w:rPr>
        <w:t xml:space="preserve"> La Administración Distrital reglamentará y dará inicio a la implementación del presente Acuerdo dentro de los seis (6) meses siguientes a su entrada en vigencia.</w:t>
      </w:r>
    </w:p>
    <w:p w:rsidR="00D52DDD" w:rsidRPr="00D52DDD" w:rsidRDefault="00D52DDD" w:rsidP="00D52DDD">
      <w:pPr>
        <w:jc w:val="both"/>
        <w:rPr>
          <w:rFonts w:eastAsia="Times New Roman"/>
          <w:sz w:val="22"/>
          <w:szCs w:val="22"/>
        </w:rPr>
      </w:pPr>
    </w:p>
    <w:p w:rsidR="00D52DDD" w:rsidRPr="00D52DDD" w:rsidRDefault="00D52DDD" w:rsidP="00D52DDD">
      <w:pPr>
        <w:spacing w:after="160" w:line="259" w:lineRule="auto"/>
        <w:jc w:val="both"/>
        <w:rPr>
          <w:rFonts w:eastAsia="Times New Roman"/>
          <w:sz w:val="22"/>
          <w:szCs w:val="22"/>
        </w:rPr>
      </w:pPr>
      <w:r w:rsidRPr="00D52DDD">
        <w:rPr>
          <w:rFonts w:eastAsia="Times New Roman"/>
          <w:b/>
          <w:sz w:val="22"/>
          <w:szCs w:val="22"/>
        </w:rPr>
        <w:t xml:space="preserve">Artículo 6°. Vigencia. </w:t>
      </w:r>
      <w:r w:rsidRPr="00D52DDD">
        <w:rPr>
          <w:rFonts w:eastAsia="Times New Roman"/>
          <w:sz w:val="22"/>
          <w:szCs w:val="22"/>
        </w:rPr>
        <w:t>El presente Acuerdo rige a partir de su publicación.</w:t>
      </w:r>
      <w:r w:rsidRPr="00D52DDD">
        <w:rPr>
          <w:rFonts w:eastAsia="Times New Roman"/>
          <w:sz w:val="22"/>
          <w:szCs w:val="22"/>
        </w:rPr>
        <w:br/>
      </w:r>
    </w:p>
    <w:p w:rsidR="00D52DDD" w:rsidRPr="00D52DDD" w:rsidRDefault="00D52DDD" w:rsidP="00D52DDD">
      <w:pPr>
        <w:spacing w:after="160" w:line="259" w:lineRule="auto"/>
        <w:jc w:val="center"/>
        <w:rPr>
          <w:rFonts w:eastAsia="Times New Roman"/>
          <w:b/>
          <w:color w:val="FF0000"/>
          <w:sz w:val="22"/>
          <w:szCs w:val="22"/>
        </w:rPr>
      </w:pPr>
      <w:r w:rsidRPr="00D52DDD">
        <w:rPr>
          <w:rFonts w:eastAsia="Times New Roman"/>
          <w:b/>
          <w:sz w:val="22"/>
          <w:szCs w:val="22"/>
        </w:rPr>
        <w:t>PUBLÍQUESE Y CÚMPLASE</w:t>
      </w:r>
    </w:p>
    <w:p w:rsidR="008A790F" w:rsidRPr="00D52DDD" w:rsidRDefault="008A790F" w:rsidP="00D52DDD">
      <w:pPr>
        <w:jc w:val="center"/>
        <w:rPr>
          <w:color w:val="252525"/>
          <w:sz w:val="22"/>
          <w:szCs w:val="22"/>
          <w:shd w:val="clear" w:color="auto" w:fill="F7F8FA"/>
        </w:rPr>
      </w:pPr>
    </w:p>
    <w:sectPr w:rsidR="008A790F" w:rsidRPr="00D52DDD">
      <w:headerReference w:type="default" r:id="rId18"/>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737" w:rsidRDefault="00006737">
      <w:r>
        <w:separator/>
      </w:r>
    </w:p>
  </w:endnote>
  <w:endnote w:type="continuationSeparator" w:id="0">
    <w:p w:rsidR="00006737" w:rsidRDefault="0000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737" w:rsidRDefault="00006737">
      <w:r>
        <w:separator/>
      </w:r>
    </w:p>
  </w:footnote>
  <w:footnote w:type="continuationSeparator" w:id="0">
    <w:p w:rsidR="00006737" w:rsidRDefault="0000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90F" w:rsidRDefault="008A790F">
    <w:pPr>
      <w:widowControl w:val="0"/>
      <w:pBdr>
        <w:top w:val="nil"/>
        <w:left w:val="nil"/>
        <w:bottom w:val="nil"/>
        <w:right w:val="nil"/>
        <w:between w:val="nil"/>
      </w:pBdr>
      <w:spacing w:line="276" w:lineRule="auto"/>
      <w:rPr>
        <w:sz w:val="20"/>
        <w:szCs w:val="20"/>
      </w:rPr>
    </w:pPr>
  </w:p>
  <w:tbl>
    <w:tblPr>
      <w:tblStyle w:val="ab"/>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8A790F">
      <w:trPr>
        <w:trHeight w:val="454"/>
      </w:trPr>
      <w:tc>
        <w:tcPr>
          <w:tcW w:w="2361" w:type="dxa"/>
          <w:vMerge w:val="restart"/>
          <w:vAlign w:val="center"/>
        </w:tcPr>
        <w:p w:rsidR="008A790F" w:rsidRDefault="00272DD2">
          <w:pPr>
            <w:jc w:val="center"/>
            <w:rPr>
              <w:sz w:val="16"/>
              <w:szCs w:val="16"/>
            </w:rPr>
          </w:pPr>
          <w:r>
            <w:rPr>
              <w:noProof/>
              <w:lang w:val="es-CO"/>
            </w:rPr>
            <w:drawing>
              <wp:anchor distT="0" distB="0" distL="0" distR="0" simplePos="0" relativeHeight="251658240" behindDoc="0" locked="0" layoutInCell="1" hidden="0" allowOverlap="1">
                <wp:simplePos x="0" y="0"/>
                <wp:positionH relativeFrom="column">
                  <wp:posOffset>370840</wp:posOffset>
                </wp:positionH>
                <wp:positionV relativeFrom="paragraph">
                  <wp:posOffset>-137154</wp:posOffset>
                </wp:positionV>
                <wp:extent cx="752475" cy="885825"/>
                <wp:effectExtent l="0" t="0" r="0" b="0"/>
                <wp:wrapSquare wrapText="bothSides" distT="0" distB="0" distL="0" distR="0"/>
                <wp:docPr id="2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vAlign w:val="center"/>
        </w:tcPr>
        <w:p w:rsidR="008A790F" w:rsidRDefault="00272DD2">
          <w:pPr>
            <w:jc w:val="center"/>
            <w:rPr>
              <w:sz w:val="18"/>
              <w:szCs w:val="18"/>
            </w:rPr>
          </w:pPr>
          <w:r>
            <w:rPr>
              <w:sz w:val="18"/>
              <w:szCs w:val="18"/>
            </w:rPr>
            <w:t>PROCESO GESTIÓN NORMATIVA</w:t>
          </w:r>
        </w:p>
      </w:tc>
      <w:tc>
        <w:tcPr>
          <w:tcW w:w="2234" w:type="dxa"/>
          <w:vAlign w:val="center"/>
        </w:tcPr>
        <w:p w:rsidR="008A790F" w:rsidRDefault="00272DD2">
          <w:pPr>
            <w:rPr>
              <w:sz w:val="16"/>
              <w:szCs w:val="16"/>
            </w:rPr>
          </w:pPr>
          <w:r>
            <w:rPr>
              <w:sz w:val="16"/>
              <w:szCs w:val="16"/>
            </w:rPr>
            <w:t>CÓDIGO</w:t>
          </w:r>
          <w:r>
            <w:rPr>
              <w:color w:val="3366FF"/>
              <w:sz w:val="16"/>
              <w:szCs w:val="16"/>
            </w:rPr>
            <w:t xml:space="preserve">: </w:t>
          </w:r>
          <w:r>
            <w:rPr>
              <w:sz w:val="16"/>
              <w:szCs w:val="16"/>
            </w:rPr>
            <w:t>GNV-FO-001</w:t>
          </w:r>
        </w:p>
      </w:tc>
    </w:tr>
    <w:tr w:rsidR="008A790F">
      <w:trPr>
        <w:trHeight w:val="454"/>
      </w:trPr>
      <w:tc>
        <w:tcPr>
          <w:tcW w:w="2361" w:type="dxa"/>
          <w:vMerge/>
          <w:vAlign w:val="center"/>
        </w:tcPr>
        <w:p w:rsidR="008A790F" w:rsidRDefault="008A790F">
          <w:pPr>
            <w:widowControl w:val="0"/>
            <w:pBdr>
              <w:top w:val="nil"/>
              <w:left w:val="nil"/>
              <w:bottom w:val="nil"/>
              <w:right w:val="nil"/>
              <w:between w:val="nil"/>
            </w:pBdr>
            <w:spacing w:line="276" w:lineRule="auto"/>
            <w:rPr>
              <w:sz w:val="16"/>
              <w:szCs w:val="16"/>
            </w:rPr>
          </w:pPr>
        </w:p>
      </w:tc>
      <w:tc>
        <w:tcPr>
          <w:tcW w:w="4235" w:type="dxa"/>
          <w:vMerge w:val="restart"/>
          <w:vAlign w:val="center"/>
        </w:tcPr>
        <w:p w:rsidR="008A790F" w:rsidRDefault="00272DD2">
          <w:pPr>
            <w:jc w:val="center"/>
            <w:rPr>
              <w:sz w:val="20"/>
              <w:szCs w:val="20"/>
            </w:rPr>
          </w:pPr>
          <w:r>
            <w:rPr>
              <w:sz w:val="20"/>
              <w:szCs w:val="20"/>
            </w:rPr>
            <w:t>PRESENTACIÓN PROYECTOS DE ACUERDO</w:t>
          </w:r>
        </w:p>
      </w:tc>
      <w:tc>
        <w:tcPr>
          <w:tcW w:w="2234" w:type="dxa"/>
          <w:vAlign w:val="center"/>
        </w:tcPr>
        <w:p w:rsidR="008A790F" w:rsidRDefault="00272DD2">
          <w:pPr>
            <w:rPr>
              <w:sz w:val="16"/>
              <w:szCs w:val="16"/>
            </w:rPr>
          </w:pPr>
          <w:r>
            <w:rPr>
              <w:sz w:val="16"/>
              <w:szCs w:val="16"/>
            </w:rPr>
            <w:t>VERSIÓN:    02</w:t>
          </w:r>
        </w:p>
      </w:tc>
    </w:tr>
    <w:tr w:rsidR="008A790F">
      <w:trPr>
        <w:trHeight w:val="454"/>
      </w:trPr>
      <w:tc>
        <w:tcPr>
          <w:tcW w:w="2361" w:type="dxa"/>
          <w:vMerge/>
          <w:vAlign w:val="center"/>
        </w:tcPr>
        <w:p w:rsidR="008A790F" w:rsidRDefault="008A790F">
          <w:pPr>
            <w:widowControl w:val="0"/>
            <w:pBdr>
              <w:top w:val="nil"/>
              <w:left w:val="nil"/>
              <w:bottom w:val="nil"/>
              <w:right w:val="nil"/>
              <w:between w:val="nil"/>
            </w:pBdr>
            <w:spacing w:line="276" w:lineRule="auto"/>
            <w:rPr>
              <w:sz w:val="16"/>
              <w:szCs w:val="16"/>
            </w:rPr>
          </w:pPr>
        </w:p>
      </w:tc>
      <w:tc>
        <w:tcPr>
          <w:tcW w:w="4235" w:type="dxa"/>
          <w:vMerge/>
          <w:vAlign w:val="center"/>
        </w:tcPr>
        <w:p w:rsidR="008A790F" w:rsidRDefault="008A790F">
          <w:pPr>
            <w:widowControl w:val="0"/>
            <w:pBdr>
              <w:top w:val="nil"/>
              <w:left w:val="nil"/>
              <w:bottom w:val="nil"/>
              <w:right w:val="nil"/>
              <w:between w:val="nil"/>
            </w:pBdr>
            <w:spacing w:line="276" w:lineRule="auto"/>
            <w:rPr>
              <w:sz w:val="16"/>
              <w:szCs w:val="16"/>
            </w:rPr>
          </w:pPr>
        </w:p>
      </w:tc>
      <w:tc>
        <w:tcPr>
          <w:tcW w:w="2234" w:type="dxa"/>
          <w:vAlign w:val="center"/>
        </w:tcPr>
        <w:p w:rsidR="008A790F" w:rsidRDefault="00272DD2">
          <w:pPr>
            <w:rPr>
              <w:sz w:val="16"/>
              <w:szCs w:val="16"/>
            </w:rPr>
          </w:pPr>
          <w:r>
            <w:rPr>
              <w:sz w:val="16"/>
              <w:szCs w:val="16"/>
            </w:rPr>
            <w:t>FECHA: 14-Nov-2019</w:t>
          </w:r>
        </w:p>
      </w:tc>
    </w:tr>
  </w:tbl>
  <w:p w:rsidR="008A790F" w:rsidRDefault="008A790F">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AAD"/>
    <w:multiLevelType w:val="multilevel"/>
    <w:tmpl w:val="35D0C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896A43"/>
    <w:multiLevelType w:val="multilevel"/>
    <w:tmpl w:val="99F02F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134A1E"/>
    <w:multiLevelType w:val="multilevel"/>
    <w:tmpl w:val="5E009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C81632B"/>
    <w:multiLevelType w:val="multilevel"/>
    <w:tmpl w:val="4EB4A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503A49"/>
    <w:multiLevelType w:val="multilevel"/>
    <w:tmpl w:val="83E8B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90F"/>
    <w:rsid w:val="00006737"/>
    <w:rsid w:val="001109F1"/>
    <w:rsid w:val="001974E6"/>
    <w:rsid w:val="00272DD2"/>
    <w:rsid w:val="002A3FE3"/>
    <w:rsid w:val="0038389E"/>
    <w:rsid w:val="007D14C7"/>
    <w:rsid w:val="00815522"/>
    <w:rsid w:val="00816BFB"/>
    <w:rsid w:val="008A790F"/>
    <w:rsid w:val="008E15F7"/>
    <w:rsid w:val="009B5EAD"/>
    <w:rsid w:val="00AA2B66"/>
    <w:rsid w:val="00AC2E54"/>
    <w:rsid w:val="00D52D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504C1F-5291-4213-97EE-7F695E885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Normal1">
    <w:name w:val="Normal1"/>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15" w:type="dxa"/>
        <w:right w:w="115" w:type="dxa"/>
      </w:tblCellMar>
    </w:tblPr>
  </w:style>
  <w:style w:type="table" w:customStyle="1" w:styleId="a0">
    <w:basedOn w:val="TableNormal3"/>
    <w:tblPr>
      <w:tblStyleRowBandSize w:val="1"/>
      <w:tblStyleColBandSize w:val="1"/>
      <w:tblCellMar>
        <w:left w:w="115" w:type="dxa"/>
        <w:right w:w="115" w:type="dxa"/>
      </w:tblCellMar>
    </w:tblPr>
  </w:style>
  <w:style w:type="table" w:customStyle="1" w:styleId="a1">
    <w:basedOn w:val="TableNormal3"/>
    <w:tblPr>
      <w:tblStyleRowBandSize w:val="1"/>
      <w:tblStyleColBandSize w:val="1"/>
      <w:tblCellMar>
        <w:left w:w="115" w:type="dxa"/>
        <w:right w:w="115" w:type="dxa"/>
      </w:tblCellMar>
    </w:tblPr>
  </w:style>
  <w:style w:type="table" w:customStyle="1" w:styleId="a2">
    <w:basedOn w:val="TableNormal3"/>
    <w:tblPr>
      <w:tblStyleRowBandSize w:val="1"/>
      <w:tblStyleColBandSize w:val="1"/>
      <w:tblCellMar>
        <w:left w:w="45" w:type="dxa"/>
        <w:right w:w="70" w:type="dxa"/>
      </w:tblCellMar>
    </w:tblPr>
  </w:style>
  <w:style w:type="table" w:customStyle="1" w:styleId="a3">
    <w:basedOn w:val="TableNormal3"/>
    <w:tblPr>
      <w:tblStyleRowBandSize w:val="1"/>
      <w:tblStyleColBandSize w:val="1"/>
      <w:tblCellMar>
        <w:left w:w="115" w:type="dxa"/>
        <w:right w:w="115" w:type="dxa"/>
      </w:tblCellMar>
    </w:tblPr>
  </w:style>
  <w:style w:type="table" w:customStyle="1" w:styleId="a4">
    <w:basedOn w:val="TableNormal3"/>
    <w:tblPr>
      <w:tblStyleRowBandSize w:val="1"/>
      <w:tblStyleColBandSize w:val="1"/>
      <w:tblCellMar>
        <w:left w:w="115" w:type="dxa"/>
        <w:right w:w="115" w:type="dxa"/>
      </w:tblCellMar>
    </w:tblPr>
  </w:style>
  <w:style w:type="table" w:customStyle="1" w:styleId="a5">
    <w:basedOn w:val="TableNormal3"/>
    <w:tblPr>
      <w:tblStyleRowBandSize w:val="1"/>
      <w:tblStyleColBandSize w:val="1"/>
      <w:tblCellMar>
        <w:left w:w="115" w:type="dxa"/>
        <w:right w:w="115" w:type="dxa"/>
      </w:tblCellMar>
    </w:tblPr>
  </w:style>
  <w:style w:type="paragraph" w:styleId="Textodeglobo">
    <w:name w:val="Balloon Text"/>
    <w:basedOn w:val="Normal"/>
    <w:link w:val="TextodegloboCar"/>
    <w:uiPriority w:val="99"/>
    <w:semiHidden/>
    <w:unhideWhenUsed/>
    <w:rsid w:val="005F64B4"/>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F64B4"/>
    <w:rPr>
      <w:rFonts w:ascii="Lucida Grande" w:hAnsi="Lucida Grande" w:cs="Lucida Grande"/>
      <w:sz w:val="18"/>
      <w:szCs w:val="18"/>
    </w:rPr>
  </w:style>
  <w:style w:type="table" w:customStyle="1" w:styleId="a6">
    <w:basedOn w:val="TableNormal2"/>
    <w:tblPr>
      <w:tblStyleRowBandSize w:val="1"/>
      <w:tblStyleColBandSize w:val="1"/>
      <w:tblCellMar>
        <w:left w:w="115" w:type="dxa"/>
        <w:right w:w="115" w:type="dxa"/>
      </w:tblCellMar>
    </w:tblPr>
  </w:style>
  <w:style w:type="table" w:customStyle="1" w:styleId="a7">
    <w:basedOn w:val="TableNormal2"/>
    <w:tblPr>
      <w:tblStyleRowBandSize w:val="1"/>
      <w:tblStyleColBandSize w:val="1"/>
      <w:tblCellMar>
        <w:left w:w="115" w:type="dxa"/>
        <w:right w:w="115" w:type="dxa"/>
      </w:tblCellMar>
    </w:tblPr>
  </w:style>
  <w:style w:type="table" w:customStyle="1" w:styleId="a8">
    <w:basedOn w:val="TableNormal2"/>
    <w:tblPr>
      <w:tblStyleRowBandSize w:val="1"/>
      <w:tblStyleColBandSize w:val="1"/>
      <w:tblCellMar>
        <w:left w:w="115" w:type="dxa"/>
        <w:right w:w="115" w:type="dxa"/>
      </w:tblCellMar>
    </w:tblPr>
  </w:style>
  <w:style w:type="table" w:customStyle="1" w:styleId="a9">
    <w:basedOn w:val="TableNormal2"/>
    <w:tblPr>
      <w:tblStyleRowBandSize w:val="1"/>
      <w:tblStyleColBandSize w:val="1"/>
      <w:tblCellMar>
        <w:left w:w="115" w:type="dxa"/>
        <w:right w:w="115" w:type="dxa"/>
      </w:tblCellMar>
    </w:tblPr>
  </w:style>
  <w:style w:type="paragraph" w:styleId="Textonotapie">
    <w:name w:val="footnote text"/>
    <w:basedOn w:val="Normal"/>
    <w:link w:val="TextonotapieCar"/>
    <w:uiPriority w:val="99"/>
    <w:semiHidden/>
    <w:unhideWhenUsed/>
    <w:rsid w:val="002709B1"/>
    <w:rPr>
      <w:sz w:val="20"/>
      <w:szCs w:val="20"/>
    </w:rPr>
  </w:style>
  <w:style w:type="character" w:customStyle="1" w:styleId="TextonotapieCar">
    <w:name w:val="Texto nota pie Car"/>
    <w:basedOn w:val="Fuentedeprrafopredeter"/>
    <w:link w:val="Textonotapie"/>
    <w:uiPriority w:val="99"/>
    <w:semiHidden/>
    <w:rsid w:val="002709B1"/>
    <w:rPr>
      <w:sz w:val="20"/>
      <w:szCs w:val="20"/>
    </w:rPr>
  </w:style>
  <w:style w:type="character" w:styleId="Refdenotaalpie">
    <w:name w:val="footnote reference"/>
    <w:basedOn w:val="Fuentedeprrafopredeter"/>
    <w:uiPriority w:val="99"/>
    <w:semiHidden/>
    <w:unhideWhenUsed/>
    <w:rsid w:val="002709B1"/>
    <w:rPr>
      <w:vertAlign w:val="superscript"/>
    </w:rPr>
  </w:style>
  <w:style w:type="character" w:styleId="Hipervnculo">
    <w:name w:val="Hyperlink"/>
    <w:basedOn w:val="Fuentedeprrafopredeter"/>
    <w:uiPriority w:val="99"/>
    <w:unhideWhenUsed/>
    <w:rsid w:val="004C4E7F"/>
    <w:rPr>
      <w:color w:val="0000FF" w:themeColor="hyperlink"/>
      <w:u w:val="single"/>
    </w:rPr>
  </w:style>
  <w:style w:type="paragraph" w:styleId="Encabezado">
    <w:name w:val="header"/>
    <w:basedOn w:val="Normal"/>
    <w:link w:val="EncabezadoCar"/>
    <w:uiPriority w:val="99"/>
    <w:unhideWhenUsed/>
    <w:rsid w:val="00F23F7D"/>
    <w:pPr>
      <w:tabs>
        <w:tab w:val="center" w:pos="4419"/>
        <w:tab w:val="right" w:pos="8838"/>
      </w:tabs>
    </w:pPr>
  </w:style>
  <w:style w:type="character" w:customStyle="1" w:styleId="EncabezadoCar">
    <w:name w:val="Encabezado Car"/>
    <w:basedOn w:val="Fuentedeprrafopredeter"/>
    <w:link w:val="Encabezado"/>
    <w:uiPriority w:val="99"/>
    <w:rsid w:val="00F23F7D"/>
  </w:style>
  <w:style w:type="paragraph" w:styleId="Piedepgina">
    <w:name w:val="footer"/>
    <w:basedOn w:val="Normal"/>
    <w:link w:val="PiedepginaCar"/>
    <w:uiPriority w:val="99"/>
    <w:unhideWhenUsed/>
    <w:rsid w:val="00F23F7D"/>
    <w:pPr>
      <w:tabs>
        <w:tab w:val="center" w:pos="4419"/>
        <w:tab w:val="right" w:pos="8838"/>
      </w:tabs>
    </w:pPr>
  </w:style>
  <w:style w:type="character" w:customStyle="1" w:styleId="PiedepginaCar">
    <w:name w:val="Pie de página Car"/>
    <w:basedOn w:val="Fuentedeprrafopredeter"/>
    <w:link w:val="Piedepgina"/>
    <w:uiPriority w:val="99"/>
    <w:rsid w:val="00F23F7D"/>
  </w:style>
  <w:style w:type="character" w:customStyle="1" w:styleId="NormalWebCar">
    <w:name w:val="Normal (Web) Car"/>
    <w:aliases w:val="Car Car Car Car Car Car Car Car Car Car Car,Car Car Car Car Car Car Car Car Car Car Car Car Car Car,Car2 Car,Normal (Web) Car Car Car"/>
    <w:link w:val="NormalWeb"/>
    <w:uiPriority w:val="99"/>
    <w:locked/>
    <w:rsid w:val="00145990"/>
    <w:rPr>
      <w:color w:val="00000A"/>
      <w:lang w:eastAsia="zh-CN" w:bidi="es-ES"/>
    </w:rPr>
  </w:style>
  <w:style w:type="paragraph" w:styleId="NormalWeb">
    <w:name w:val="Normal (Web)"/>
    <w:aliases w:val="Car Car Car Car Car Car Car Car Car Car,Car Car Car Car Car Car Car Car Car Car Car Car Car,Car2,Normal (Web) Car Car"/>
    <w:basedOn w:val="Normal"/>
    <w:link w:val="NormalWebCar"/>
    <w:uiPriority w:val="99"/>
    <w:unhideWhenUsed/>
    <w:qFormat/>
    <w:rsid w:val="00145990"/>
    <w:pPr>
      <w:widowControl w:val="0"/>
      <w:suppressAutoHyphens/>
      <w:overflowPunct w:val="0"/>
      <w:spacing w:before="100" w:after="100"/>
    </w:pPr>
    <w:rPr>
      <w:color w:val="00000A"/>
      <w:lang w:eastAsia="zh-CN" w:bidi="es-ES"/>
    </w:rPr>
  </w:style>
  <w:style w:type="paragraph" w:styleId="Sinespaciado">
    <w:name w:val="No Spacing"/>
    <w:link w:val="SinespaciadoCar"/>
    <w:uiPriority w:val="1"/>
    <w:qFormat/>
    <w:rsid w:val="00145990"/>
    <w:rPr>
      <w:rFonts w:ascii="Calibri" w:eastAsia="Calibri" w:hAnsi="Calibri" w:cs="Times New Roman"/>
      <w:sz w:val="22"/>
      <w:szCs w:val="22"/>
      <w:lang w:val="es-CO" w:eastAsia="en-US"/>
    </w:rPr>
  </w:style>
  <w:style w:type="character" w:customStyle="1" w:styleId="SinespaciadoCar">
    <w:name w:val="Sin espaciado Car"/>
    <w:link w:val="Sinespaciado"/>
    <w:uiPriority w:val="1"/>
    <w:rsid w:val="00145990"/>
    <w:rPr>
      <w:rFonts w:ascii="Calibri" w:eastAsia="Calibri" w:hAnsi="Calibri" w:cs="Times New Roman"/>
      <w:sz w:val="22"/>
      <w:szCs w:val="22"/>
      <w:lang w:val="es-CO" w:eastAsia="en-US"/>
    </w:rPr>
  </w:style>
  <w:style w:type="character" w:styleId="Refdecomentario">
    <w:name w:val="annotation reference"/>
    <w:basedOn w:val="Fuentedeprrafopredeter"/>
    <w:uiPriority w:val="99"/>
    <w:semiHidden/>
    <w:unhideWhenUsed/>
    <w:rsid w:val="0003560B"/>
    <w:rPr>
      <w:sz w:val="16"/>
      <w:szCs w:val="16"/>
    </w:rPr>
  </w:style>
  <w:style w:type="paragraph" w:styleId="Textocomentario">
    <w:name w:val="annotation text"/>
    <w:basedOn w:val="Normal"/>
    <w:link w:val="TextocomentarioCar"/>
    <w:uiPriority w:val="99"/>
    <w:semiHidden/>
    <w:unhideWhenUsed/>
    <w:rsid w:val="0003560B"/>
    <w:rPr>
      <w:sz w:val="20"/>
      <w:szCs w:val="20"/>
    </w:rPr>
  </w:style>
  <w:style w:type="character" w:customStyle="1" w:styleId="TextocomentarioCar">
    <w:name w:val="Texto comentario Car"/>
    <w:basedOn w:val="Fuentedeprrafopredeter"/>
    <w:link w:val="Textocomentario"/>
    <w:uiPriority w:val="99"/>
    <w:semiHidden/>
    <w:rsid w:val="0003560B"/>
    <w:rPr>
      <w:sz w:val="20"/>
      <w:szCs w:val="20"/>
    </w:rPr>
  </w:style>
  <w:style w:type="paragraph" w:styleId="Asuntodelcomentario">
    <w:name w:val="annotation subject"/>
    <w:basedOn w:val="Textocomentario"/>
    <w:next w:val="Textocomentario"/>
    <w:link w:val="AsuntodelcomentarioCar"/>
    <w:uiPriority w:val="99"/>
    <w:semiHidden/>
    <w:unhideWhenUsed/>
    <w:rsid w:val="0003560B"/>
    <w:rPr>
      <w:b/>
      <w:bCs/>
    </w:rPr>
  </w:style>
  <w:style w:type="character" w:customStyle="1" w:styleId="AsuntodelcomentarioCar">
    <w:name w:val="Asunto del comentario Car"/>
    <w:basedOn w:val="TextocomentarioCar"/>
    <w:link w:val="Asuntodelcomentario"/>
    <w:uiPriority w:val="99"/>
    <w:semiHidden/>
    <w:rsid w:val="0003560B"/>
    <w:rPr>
      <w:b/>
      <w:bCs/>
      <w:sz w:val="20"/>
      <w:szCs w:val="20"/>
    </w:rPr>
  </w:style>
  <w:style w:type="character" w:styleId="Textoennegrita">
    <w:name w:val="Strong"/>
    <w:basedOn w:val="Fuentedeprrafopredeter"/>
    <w:uiPriority w:val="22"/>
    <w:qFormat/>
    <w:rsid w:val="00F86D5A"/>
    <w:rPr>
      <w:b/>
      <w:bCs/>
    </w:rPr>
  </w:style>
  <w:style w:type="character" w:customStyle="1" w:styleId="UnresolvedMention">
    <w:name w:val="Unresolved Mention"/>
    <w:basedOn w:val="Fuentedeprrafopredeter"/>
    <w:uiPriority w:val="99"/>
    <w:semiHidden/>
    <w:unhideWhenUsed/>
    <w:rsid w:val="00EF6D2E"/>
    <w:rPr>
      <w:color w:val="605E5C"/>
      <w:shd w:val="clear" w:color="auto" w:fill="E1DFDD"/>
    </w:r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paragraph" w:styleId="Prrafodelista">
    <w:name w:val="List Paragraph"/>
    <w:basedOn w:val="Normal"/>
    <w:uiPriority w:val="34"/>
    <w:qFormat/>
    <w:rsid w:val="00110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ane.gov.co/files/operaciones/CAEFM-RS/bol-CAEFMRS-2021p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superservicios.gov.co/sites/default/files/inline-files/Informe-Nacional-de-Disposicion-Final-de-Residuos-Solidos-2022.pdf" TargetMode="External"/><Relationship Id="rId2" Type="http://schemas.openxmlformats.org/officeDocument/2006/relationships/numbering" Target="numbering.xml"/><Relationship Id="rId16" Type="http://schemas.openxmlformats.org/officeDocument/2006/relationships/hyperlink" Target="https://www.sdp.gov.co/gestion-estudios-estrategicos/informacion-cartografia-y-estadistica/repositorio-estadistico/establecimientos-de-comercio%5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edocs.unep.org/bitstream/handle/20.500.11822/44939/global_waste_management_outlook_2024.pdf?sequence=1&amp;isAllowed=y"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tienex.co/media/b096d37fcdee87a1f193271978cc296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xmJBJQrJBCO73Lwzqh3vG379Vw==">CgMxLjA4AHIhMUJOeXBBLU5ibmNxZTlMMDR3NDlXTFZHcjBWWkVvYUpF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8020</Words>
  <Characters>44114</Characters>
  <Application>Microsoft Office Word</Application>
  <DocSecurity>0</DocSecurity>
  <Lines>367</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and_r</dc:creator>
  <cp:lastModifiedBy>MARGARITA ROCIO TORRES NOVA</cp:lastModifiedBy>
  <cp:revision>12</cp:revision>
  <dcterms:created xsi:type="dcterms:W3CDTF">2020-07-02T20:40:00Z</dcterms:created>
  <dcterms:modified xsi:type="dcterms:W3CDTF">2026-01-19T19:17:00Z</dcterms:modified>
</cp:coreProperties>
</file>